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3E4D0D" w14:textId="77777777" w:rsidR="00B909D2" w:rsidRPr="00474157" w:rsidRDefault="00B909D2" w:rsidP="00B909D2">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val="fr-FR" w:eastAsia="en-GB"/>
        </w:rPr>
      </w:pPr>
      <w:r w:rsidRPr="00474157">
        <w:rPr>
          <w:rFonts w:ascii="Calibri" w:eastAsia="Times New Roman" w:hAnsi="Calibri" w:cs="Calibri"/>
          <w:b/>
          <w:bCs/>
          <w:sz w:val="40"/>
          <w:szCs w:val="40"/>
          <w:lang w:val="fr-FR" w:eastAsia="en-GB"/>
        </w:rPr>
        <w:t>Beacon Alternative Provision</w:t>
      </w:r>
    </w:p>
    <w:p w14:paraId="3A1ECBDB" w14:textId="77777777" w:rsidR="00B909D2" w:rsidRPr="00474157" w:rsidRDefault="00B909D2" w:rsidP="00B909D2">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val="fr-FR" w:eastAsia="en-GB"/>
        </w:rPr>
      </w:pPr>
      <w:r w:rsidRPr="00474157">
        <w:rPr>
          <w:rFonts w:ascii="Calibri" w:eastAsia="Times New Roman" w:hAnsi="Calibri" w:cs="Calibri"/>
          <w:b/>
          <w:bCs/>
          <w:sz w:val="40"/>
          <w:szCs w:val="40"/>
          <w:lang w:val="fr-FR" w:eastAsia="en-GB"/>
        </w:rPr>
        <w:t>Admissions Policy</w:t>
      </w:r>
    </w:p>
    <w:p w14:paraId="4A7F6C1F" w14:textId="77777777" w:rsidR="00B909D2" w:rsidRPr="00474157" w:rsidRDefault="00B909D2" w:rsidP="00B909D2">
      <w:pPr>
        <w:pBdr>
          <w:top w:val="single" w:sz="4" w:space="1" w:color="auto"/>
          <w:left w:val="single" w:sz="4" w:space="4" w:color="auto"/>
          <w:bottom w:val="single" w:sz="4" w:space="1" w:color="auto"/>
          <w:right w:val="single" w:sz="4" w:space="4" w:color="auto"/>
        </w:pBdr>
        <w:shd w:val="clear" w:color="auto" w:fill="FF99FF"/>
        <w:spacing w:before="100" w:beforeAutospacing="1" w:after="100" w:afterAutospacing="1" w:line="240" w:lineRule="auto"/>
        <w:jc w:val="center"/>
        <w:outlineLvl w:val="2"/>
        <w:rPr>
          <w:rFonts w:ascii="Calibri" w:eastAsia="Times New Roman" w:hAnsi="Calibri" w:cs="Calibri"/>
          <w:b/>
          <w:bCs/>
          <w:sz w:val="40"/>
          <w:szCs w:val="40"/>
          <w:lang w:eastAsia="en-GB"/>
        </w:rPr>
      </w:pPr>
      <w:r w:rsidRPr="00474157">
        <w:rPr>
          <w:rFonts w:ascii="Calibri" w:eastAsia="Times New Roman" w:hAnsi="Calibri" w:cs="Calibri"/>
          <w:b/>
          <w:bCs/>
          <w:noProof/>
          <w:sz w:val="40"/>
          <w:szCs w:val="40"/>
          <w:lang w:eastAsia="en-GB"/>
        </w:rPr>
        <w:drawing>
          <wp:inline distT="0" distB="0" distL="0" distR="0" wp14:anchorId="1563B9C1" wp14:editId="1BB73442">
            <wp:extent cx="829310" cy="518996"/>
            <wp:effectExtent l="0" t="0" r="8890" b="0"/>
            <wp:docPr id="1" name="Picture 1" descr="A lighthouse with a light house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ighthouse with a light house in the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9310" cy="518996"/>
                    </a:xfrm>
                    <a:prstGeom prst="rect">
                      <a:avLst/>
                    </a:prstGeom>
                    <a:noFill/>
                  </pic:spPr>
                </pic:pic>
              </a:graphicData>
            </a:graphic>
          </wp:inline>
        </w:drawing>
      </w:r>
    </w:p>
    <w:p w14:paraId="58C7D723" w14:textId="2DE41CA1" w:rsidR="00DF7FFE" w:rsidRPr="00474157" w:rsidRDefault="1E07A4FA" w:rsidP="00E5673E">
      <w:pPr>
        <w:spacing w:before="240" w:after="240"/>
        <w:jc w:val="center"/>
        <w:rPr>
          <w:rFonts w:ascii="Calibri" w:hAnsi="Calibri" w:cs="Calibri"/>
        </w:rPr>
      </w:pPr>
      <w:r w:rsidRPr="00474157">
        <w:rPr>
          <w:rFonts w:ascii="Calibri" w:eastAsia="Aptos" w:hAnsi="Calibri" w:cs="Calibri"/>
          <w:b/>
          <w:bCs/>
        </w:rPr>
        <w:t>Date</w:t>
      </w:r>
      <w:r w:rsidRPr="00474157">
        <w:rPr>
          <w:rFonts w:ascii="Calibri" w:eastAsia="Aptos" w:hAnsi="Calibri" w:cs="Calibri"/>
        </w:rPr>
        <w:t xml:space="preserve">: </w:t>
      </w:r>
      <w:r w:rsidR="00B46975" w:rsidRPr="00474157">
        <w:rPr>
          <w:rFonts w:ascii="Calibri" w:eastAsia="Aptos" w:hAnsi="Calibri" w:cs="Calibri"/>
        </w:rPr>
        <w:t>April 2025</w:t>
      </w:r>
      <w:r w:rsidR="00F97C83" w:rsidRPr="00474157">
        <w:rPr>
          <w:rFonts w:ascii="Calibri" w:hAnsi="Calibri" w:cs="Calibri"/>
        </w:rPr>
        <w:br/>
      </w:r>
      <w:r w:rsidRPr="00474157">
        <w:rPr>
          <w:rFonts w:ascii="Calibri" w:eastAsia="Aptos" w:hAnsi="Calibri" w:cs="Calibri"/>
          <w:b/>
          <w:bCs/>
        </w:rPr>
        <w:t>Written by</w:t>
      </w:r>
      <w:r w:rsidRPr="00474157">
        <w:rPr>
          <w:rFonts w:ascii="Calibri" w:eastAsia="Aptos" w:hAnsi="Calibri" w:cs="Calibri"/>
        </w:rPr>
        <w:t>: O'Connell/Field</w:t>
      </w:r>
      <w:r w:rsidR="00F97C83" w:rsidRPr="00474157">
        <w:rPr>
          <w:rFonts w:ascii="Calibri" w:hAnsi="Calibri" w:cs="Calibri"/>
        </w:rPr>
        <w:br/>
      </w:r>
      <w:r w:rsidRPr="00474157">
        <w:rPr>
          <w:rFonts w:ascii="Calibri" w:eastAsia="Aptos" w:hAnsi="Calibri" w:cs="Calibri"/>
          <w:b/>
          <w:bCs/>
        </w:rPr>
        <w:t>Review Due by</w:t>
      </w:r>
      <w:r w:rsidRPr="00474157">
        <w:rPr>
          <w:rFonts w:ascii="Calibri" w:eastAsia="Aptos" w:hAnsi="Calibri" w:cs="Calibri"/>
        </w:rPr>
        <w:t xml:space="preserve">: </w:t>
      </w:r>
      <w:r w:rsidR="0046390C" w:rsidRPr="00474157">
        <w:rPr>
          <w:rFonts w:ascii="Calibri" w:eastAsia="Aptos" w:hAnsi="Calibri" w:cs="Calibri"/>
        </w:rPr>
        <w:t>April 2026</w:t>
      </w:r>
      <w:r w:rsidRPr="00474157">
        <w:rPr>
          <w:rFonts w:ascii="Calibri" w:eastAsia="Aptos" w:hAnsi="Calibri" w:cs="Calibri"/>
        </w:rPr>
        <w:t xml:space="preserve"> </w:t>
      </w:r>
    </w:p>
    <w:p w14:paraId="153B32AB" w14:textId="5AF0513C" w:rsidR="00DF7FFE" w:rsidRPr="00474157" w:rsidRDefault="1E07A4FA" w:rsidP="6E4D0524">
      <w:pPr>
        <w:pStyle w:val="Heading3"/>
        <w:spacing w:before="281" w:after="281"/>
        <w:rPr>
          <w:rFonts w:ascii="Calibri" w:hAnsi="Calibri" w:cs="Calibri"/>
        </w:rPr>
      </w:pPr>
      <w:r w:rsidRPr="00474157">
        <w:rPr>
          <w:rFonts w:ascii="Calibri" w:eastAsia="Aptos" w:hAnsi="Calibri" w:cs="Calibri"/>
          <w:b/>
          <w:bCs/>
        </w:rPr>
        <w:t>Table of Contents</w:t>
      </w:r>
    </w:p>
    <w:p w14:paraId="6533262C" w14:textId="02782926" w:rsidR="00DF7FFE" w:rsidRPr="00474157" w:rsidRDefault="1E07A4FA" w:rsidP="6E4D0524">
      <w:pPr>
        <w:pStyle w:val="ListParagraph"/>
        <w:numPr>
          <w:ilvl w:val="0"/>
          <w:numId w:val="4"/>
        </w:numPr>
        <w:spacing w:before="240" w:after="240"/>
        <w:rPr>
          <w:rFonts w:ascii="Calibri" w:eastAsia="Aptos" w:hAnsi="Calibri" w:cs="Calibri"/>
          <w:b/>
          <w:bCs/>
        </w:rPr>
      </w:pPr>
      <w:r w:rsidRPr="00474157">
        <w:rPr>
          <w:rFonts w:ascii="Calibri" w:eastAsia="Aptos" w:hAnsi="Calibri" w:cs="Calibri"/>
          <w:b/>
          <w:bCs/>
        </w:rPr>
        <w:t>Admission to Beacon Alternative Provision</w:t>
      </w:r>
    </w:p>
    <w:p w14:paraId="1163A522" w14:textId="4D6D06FF" w:rsidR="00DF7FFE" w:rsidRPr="00474157" w:rsidRDefault="1E07A4FA" w:rsidP="6E4D0524">
      <w:pPr>
        <w:pStyle w:val="ListParagraph"/>
        <w:numPr>
          <w:ilvl w:val="0"/>
          <w:numId w:val="4"/>
        </w:numPr>
        <w:spacing w:before="240" w:after="240"/>
        <w:rPr>
          <w:rFonts w:ascii="Calibri" w:eastAsia="Aptos" w:hAnsi="Calibri" w:cs="Calibri"/>
          <w:b/>
          <w:bCs/>
        </w:rPr>
      </w:pPr>
      <w:r w:rsidRPr="00474157">
        <w:rPr>
          <w:rFonts w:ascii="Calibri" w:eastAsia="Aptos" w:hAnsi="Calibri" w:cs="Calibri"/>
          <w:b/>
          <w:bCs/>
        </w:rPr>
        <w:t>Admissions Register</w:t>
      </w:r>
    </w:p>
    <w:p w14:paraId="0B568BDD" w14:textId="191D5A9B" w:rsidR="00DF7FFE" w:rsidRPr="00474157" w:rsidRDefault="1E07A4FA" w:rsidP="6E4D0524">
      <w:pPr>
        <w:pStyle w:val="Heading3"/>
        <w:spacing w:before="281" w:after="281"/>
        <w:rPr>
          <w:rFonts w:ascii="Calibri" w:hAnsi="Calibri" w:cs="Calibri"/>
        </w:rPr>
      </w:pPr>
      <w:r w:rsidRPr="00474157">
        <w:rPr>
          <w:rFonts w:ascii="Calibri" w:eastAsia="Aptos" w:hAnsi="Calibri" w:cs="Calibri"/>
          <w:b/>
          <w:bCs/>
        </w:rPr>
        <w:t>Admission to Beacon Alternative Provision</w:t>
      </w:r>
    </w:p>
    <w:p w14:paraId="57F93A43" w14:textId="068631CF" w:rsidR="00DF7FFE" w:rsidRPr="00474157" w:rsidRDefault="1E07A4FA" w:rsidP="6E4D0524">
      <w:pPr>
        <w:pStyle w:val="ListParagraph"/>
        <w:numPr>
          <w:ilvl w:val="0"/>
          <w:numId w:val="3"/>
        </w:numPr>
        <w:spacing w:before="240" w:after="240"/>
        <w:rPr>
          <w:rFonts w:ascii="Calibri" w:eastAsia="Aptos" w:hAnsi="Calibri" w:cs="Calibri"/>
        </w:rPr>
      </w:pPr>
      <w:r w:rsidRPr="00474157">
        <w:rPr>
          <w:rFonts w:ascii="Calibri" w:eastAsia="Aptos" w:hAnsi="Calibri" w:cs="Calibri"/>
          <w:b/>
          <w:bCs/>
        </w:rPr>
        <w:t>Referral Process</w:t>
      </w:r>
      <w:r w:rsidRPr="00474157">
        <w:rPr>
          <w:rFonts w:ascii="Calibri" w:eastAsia="Aptos" w:hAnsi="Calibri" w:cs="Calibri"/>
        </w:rPr>
        <w:t>:</w:t>
      </w:r>
      <w:r w:rsidR="00F97C83" w:rsidRPr="00474157">
        <w:rPr>
          <w:rFonts w:ascii="Calibri" w:hAnsi="Calibri" w:cs="Calibri"/>
        </w:rPr>
        <w:br/>
      </w:r>
      <w:r w:rsidRPr="00474157">
        <w:rPr>
          <w:rFonts w:ascii="Calibri" w:eastAsia="Aptos" w:hAnsi="Calibri" w:cs="Calibri"/>
        </w:rPr>
        <w:t xml:space="preserve"> Admission to Beacon Alternative Provision is typically by referral from an external organisation, such as a school or local education authority (LEA), which also often serves as the funding body. Beacon Alternative Provision caters to young people aged </w:t>
      </w:r>
      <w:r w:rsidR="00E908B8">
        <w:rPr>
          <w:rFonts w:ascii="Calibri" w:eastAsia="Aptos" w:hAnsi="Calibri" w:cs="Calibri"/>
        </w:rPr>
        <w:t>7</w:t>
      </w:r>
      <w:r w:rsidRPr="00474157">
        <w:rPr>
          <w:rFonts w:ascii="Calibri" w:eastAsia="Aptos" w:hAnsi="Calibri" w:cs="Calibri"/>
        </w:rPr>
        <w:t>–16. All staff members, including volunteers, are selected following comprehensive recruitment procedures, which include the completion of DBS checks.</w:t>
      </w:r>
    </w:p>
    <w:p w14:paraId="2B0BBBAC" w14:textId="0DE56AAC" w:rsidR="00DF7FFE" w:rsidRPr="00474157" w:rsidRDefault="1E07A4FA" w:rsidP="6E4D0524">
      <w:pPr>
        <w:pStyle w:val="ListParagraph"/>
        <w:numPr>
          <w:ilvl w:val="0"/>
          <w:numId w:val="3"/>
        </w:numPr>
        <w:spacing w:before="240" w:after="240"/>
        <w:rPr>
          <w:rFonts w:ascii="Calibri" w:eastAsia="Aptos" w:hAnsi="Calibri" w:cs="Calibri"/>
        </w:rPr>
      </w:pPr>
      <w:r w:rsidRPr="00474157">
        <w:rPr>
          <w:rFonts w:ascii="Calibri" w:eastAsia="Aptos" w:hAnsi="Calibri" w:cs="Calibri"/>
          <w:b/>
          <w:bCs/>
        </w:rPr>
        <w:t>Conditional Admission</w:t>
      </w:r>
      <w:r w:rsidRPr="00474157">
        <w:rPr>
          <w:rFonts w:ascii="Calibri" w:eastAsia="Aptos" w:hAnsi="Calibri" w:cs="Calibri"/>
        </w:rPr>
        <w:t>:</w:t>
      </w:r>
      <w:r w:rsidR="00F97C83" w:rsidRPr="00474157">
        <w:rPr>
          <w:rFonts w:ascii="Calibri" w:hAnsi="Calibri" w:cs="Calibri"/>
        </w:rPr>
        <w:br/>
      </w:r>
      <w:r w:rsidRPr="00474157">
        <w:rPr>
          <w:rFonts w:ascii="Calibri" w:eastAsia="Aptos" w:hAnsi="Calibri" w:cs="Calibri"/>
        </w:rPr>
        <w:t xml:space="preserve"> Admission to the provision is contingent upon a successful interview involving the young person, their parent or carer(s), and a representative from the referring organisation.</w:t>
      </w:r>
    </w:p>
    <w:p w14:paraId="2AEA365C" w14:textId="620807F8" w:rsidR="00DF7FFE" w:rsidRPr="00474157" w:rsidRDefault="1E07A4FA" w:rsidP="6E4D0524">
      <w:pPr>
        <w:pStyle w:val="ListParagraph"/>
        <w:numPr>
          <w:ilvl w:val="0"/>
          <w:numId w:val="3"/>
        </w:numPr>
        <w:spacing w:before="240" w:after="240"/>
        <w:rPr>
          <w:rFonts w:ascii="Calibri" w:eastAsia="Aptos" w:hAnsi="Calibri" w:cs="Calibri"/>
        </w:rPr>
      </w:pPr>
      <w:r w:rsidRPr="00474157">
        <w:rPr>
          <w:rFonts w:ascii="Calibri" w:eastAsia="Aptos" w:hAnsi="Calibri" w:cs="Calibri"/>
          <w:b/>
          <w:bCs/>
        </w:rPr>
        <w:t>Student Conduct Agreement</w:t>
      </w:r>
      <w:r w:rsidRPr="00474157">
        <w:rPr>
          <w:rFonts w:ascii="Calibri" w:eastAsia="Aptos" w:hAnsi="Calibri" w:cs="Calibri"/>
        </w:rPr>
        <w:t>:</w:t>
      </w:r>
      <w:r w:rsidR="00F97C83" w:rsidRPr="00474157">
        <w:rPr>
          <w:rFonts w:ascii="Calibri" w:hAnsi="Calibri" w:cs="Calibri"/>
        </w:rPr>
        <w:br/>
      </w:r>
      <w:r w:rsidRPr="00474157">
        <w:rPr>
          <w:rFonts w:ascii="Calibri" w:eastAsia="Aptos" w:hAnsi="Calibri" w:cs="Calibri"/>
        </w:rPr>
        <w:t xml:space="preserve"> Admission is also conditional upon the young person understanding and agreeing to the Student Conduct Agreement.</w:t>
      </w:r>
    </w:p>
    <w:p w14:paraId="7D5970FD" w14:textId="65479C37" w:rsidR="00DF7FFE" w:rsidRPr="00474157" w:rsidRDefault="1E07A4FA" w:rsidP="6E4D0524">
      <w:pPr>
        <w:pStyle w:val="ListParagraph"/>
        <w:numPr>
          <w:ilvl w:val="0"/>
          <w:numId w:val="3"/>
        </w:numPr>
        <w:spacing w:before="240" w:after="240"/>
        <w:rPr>
          <w:rFonts w:ascii="Calibri" w:eastAsia="Aptos" w:hAnsi="Calibri" w:cs="Calibri"/>
        </w:rPr>
      </w:pPr>
      <w:r w:rsidRPr="00474157">
        <w:rPr>
          <w:rFonts w:ascii="Calibri" w:eastAsia="Aptos" w:hAnsi="Calibri" w:cs="Calibri"/>
          <w:b/>
          <w:bCs/>
        </w:rPr>
        <w:t>Referral Form Completion</w:t>
      </w:r>
      <w:r w:rsidRPr="00474157">
        <w:rPr>
          <w:rFonts w:ascii="Calibri" w:eastAsia="Aptos" w:hAnsi="Calibri" w:cs="Calibri"/>
        </w:rPr>
        <w:t>:</w:t>
      </w:r>
      <w:r w:rsidR="00F97C83" w:rsidRPr="00474157">
        <w:rPr>
          <w:rFonts w:ascii="Calibri" w:hAnsi="Calibri" w:cs="Calibri"/>
        </w:rPr>
        <w:br/>
      </w:r>
      <w:r w:rsidRPr="00474157">
        <w:rPr>
          <w:rFonts w:ascii="Calibri" w:eastAsia="Aptos" w:hAnsi="Calibri" w:cs="Calibri"/>
        </w:rPr>
        <w:t xml:space="preserve"> The Beacon Alternative Provision Referral Form must be fully completed. The form is designed to capture the information required for registration and includes prompts for parent/carer signatures on various aspects of the programme, such as e-safety agreements, permission for photographs, and consent for education trips and visits.</w:t>
      </w:r>
    </w:p>
    <w:p w14:paraId="32B90E26" w14:textId="786941C3" w:rsidR="00DF7FFE" w:rsidRPr="00474157" w:rsidRDefault="1E07A4FA" w:rsidP="6E4D0524">
      <w:pPr>
        <w:pStyle w:val="ListParagraph"/>
        <w:numPr>
          <w:ilvl w:val="0"/>
          <w:numId w:val="3"/>
        </w:numPr>
        <w:spacing w:before="240" w:after="240"/>
        <w:rPr>
          <w:rFonts w:ascii="Calibri" w:eastAsia="Aptos" w:hAnsi="Calibri" w:cs="Calibri"/>
        </w:rPr>
      </w:pPr>
      <w:r w:rsidRPr="00474157">
        <w:rPr>
          <w:rFonts w:ascii="Calibri" w:eastAsia="Aptos" w:hAnsi="Calibri" w:cs="Calibri"/>
          <w:b/>
          <w:bCs/>
        </w:rPr>
        <w:t>Circumstances Leading to Referral</w:t>
      </w:r>
      <w:r w:rsidRPr="00474157">
        <w:rPr>
          <w:rFonts w:ascii="Calibri" w:eastAsia="Aptos" w:hAnsi="Calibri" w:cs="Calibri"/>
        </w:rPr>
        <w:t>:</w:t>
      </w:r>
      <w:r w:rsidR="00F97C83" w:rsidRPr="00474157">
        <w:rPr>
          <w:rFonts w:ascii="Calibri" w:hAnsi="Calibri" w:cs="Calibri"/>
        </w:rPr>
        <w:br/>
      </w:r>
      <w:r w:rsidRPr="00474157">
        <w:rPr>
          <w:rFonts w:ascii="Calibri" w:eastAsia="Aptos" w:hAnsi="Calibri" w:cs="Calibri"/>
        </w:rPr>
        <w:t xml:space="preserve"> Information regarding the circumstances leading to the referral is collected through both the referral form and the interview process. It is essential that the centre is made aware of any situations that may affect the young person, including child protection concerns, police involvement, allegations of threats, violence, inappropriate sexual behaviour, or any other factors impacting the young person’s wellbeing. This information is vital for ensuring the health, safety, and welfare of the young person and others within the </w:t>
      </w:r>
      <w:r w:rsidR="00EC4EB7">
        <w:rPr>
          <w:rFonts w:ascii="Calibri" w:eastAsia="Aptos" w:hAnsi="Calibri" w:cs="Calibri"/>
        </w:rPr>
        <w:t>organisation</w:t>
      </w:r>
      <w:r w:rsidRPr="00474157">
        <w:rPr>
          <w:rFonts w:ascii="Calibri" w:eastAsia="Aptos" w:hAnsi="Calibri" w:cs="Calibri"/>
        </w:rPr>
        <w:t>.</w:t>
      </w:r>
    </w:p>
    <w:p w14:paraId="2C52FBBA" w14:textId="779A309D" w:rsidR="00DF7FFE" w:rsidRPr="00474157" w:rsidRDefault="1E07A4FA" w:rsidP="6E4D0524">
      <w:pPr>
        <w:pStyle w:val="ListParagraph"/>
        <w:numPr>
          <w:ilvl w:val="0"/>
          <w:numId w:val="3"/>
        </w:numPr>
        <w:spacing w:before="240" w:after="240"/>
        <w:rPr>
          <w:rFonts w:ascii="Calibri" w:eastAsia="Aptos" w:hAnsi="Calibri" w:cs="Calibri"/>
        </w:rPr>
      </w:pPr>
      <w:r w:rsidRPr="00474157">
        <w:rPr>
          <w:rFonts w:ascii="Calibri" w:eastAsia="Aptos" w:hAnsi="Calibri" w:cs="Calibri"/>
          <w:b/>
          <w:bCs/>
        </w:rPr>
        <w:lastRenderedPageBreak/>
        <w:t>Support Plans</w:t>
      </w:r>
      <w:r w:rsidRPr="00474157">
        <w:rPr>
          <w:rFonts w:ascii="Calibri" w:eastAsia="Aptos" w:hAnsi="Calibri" w:cs="Calibri"/>
        </w:rPr>
        <w:t>:</w:t>
      </w:r>
      <w:r w:rsidR="00F97C83" w:rsidRPr="00474157">
        <w:rPr>
          <w:rFonts w:ascii="Calibri" w:hAnsi="Calibri" w:cs="Calibri"/>
        </w:rPr>
        <w:br/>
      </w:r>
      <w:r w:rsidRPr="00474157">
        <w:rPr>
          <w:rFonts w:ascii="Calibri" w:eastAsia="Aptos" w:hAnsi="Calibri" w:cs="Calibri"/>
        </w:rPr>
        <w:t xml:space="preserve"> Any Education, Health, and Care Plans (EHCPs), Individual Education Plans (IEPs), Looked After Children (LAC) care plans, and any other relevant information regarding support requirements should be provided during the interview and before the placement begins.</w:t>
      </w:r>
    </w:p>
    <w:p w14:paraId="1CE5A4E8" w14:textId="31413743" w:rsidR="00DF7FFE" w:rsidRPr="00474157" w:rsidRDefault="1E07A4FA" w:rsidP="6E4D0524">
      <w:pPr>
        <w:pStyle w:val="ListParagraph"/>
        <w:numPr>
          <w:ilvl w:val="0"/>
          <w:numId w:val="3"/>
        </w:numPr>
        <w:spacing w:before="240" w:after="240"/>
        <w:rPr>
          <w:rFonts w:ascii="Calibri" w:eastAsia="Aptos" w:hAnsi="Calibri" w:cs="Calibri"/>
        </w:rPr>
      </w:pPr>
      <w:r w:rsidRPr="00474157">
        <w:rPr>
          <w:rFonts w:ascii="Calibri" w:eastAsia="Aptos" w:hAnsi="Calibri" w:cs="Calibri"/>
          <w:b/>
          <w:bCs/>
        </w:rPr>
        <w:t>Assessing Suitability for Young People with EHCPs</w:t>
      </w:r>
      <w:r w:rsidRPr="00474157">
        <w:rPr>
          <w:rFonts w:ascii="Calibri" w:eastAsia="Aptos" w:hAnsi="Calibri" w:cs="Calibri"/>
        </w:rPr>
        <w:t>:</w:t>
      </w:r>
      <w:r w:rsidR="00F97C83" w:rsidRPr="00474157">
        <w:rPr>
          <w:rFonts w:ascii="Calibri" w:hAnsi="Calibri" w:cs="Calibri"/>
        </w:rPr>
        <w:br/>
      </w:r>
      <w:r w:rsidRPr="00474157">
        <w:rPr>
          <w:rFonts w:ascii="Calibri" w:eastAsia="Aptos" w:hAnsi="Calibri" w:cs="Calibri"/>
        </w:rPr>
        <w:t xml:space="preserve"> When a young person has an EHCP, Beacon staff will assess whether the provision can adequately meet the needs outlined in the plan. If the centre is not able to fulfil these requirements, the referring organisation will be advised to consider alternative placements.</w:t>
      </w:r>
    </w:p>
    <w:p w14:paraId="3F91E394" w14:textId="5B3F154E" w:rsidR="00DF7FFE" w:rsidRPr="00474157" w:rsidRDefault="1E07A4FA" w:rsidP="6E4D0524">
      <w:pPr>
        <w:pStyle w:val="ListParagraph"/>
        <w:numPr>
          <w:ilvl w:val="0"/>
          <w:numId w:val="3"/>
        </w:numPr>
        <w:spacing w:before="240" w:after="240"/>
        <w:rPr>
          <w:rFonts w:ascii="Calibri" w:eastAsia="Aptos" w:hAnsi="Calibri" w:cs="Calibri"/>
        </w:rPr>
      </w:pPr>
      <w:r w:rsidRPr="00474157">
        <w:rPr>
          <w:rFonts w:ascii="Calibri" w:eastAsia="Aptos" w:hAnsi="Calibri" w:cs="Calibri"/>
          <w:b/>
          <w:bCs/>
        </w:rPr>
        <w:t>Induction and Review Process</w:t>
      </w:r>
      <w:r w:rsidRPr="00474157">
        <w:rPr>
          <w:rFonts w:ascii="Calibri" w:eastAsia="Aptos" w:hAnsi="Calibri" w:cs="Calibri"/>
        </w:rPr>
        <w:t>:</w:t>
      </w:r>
      <w:r w:rsidR="00F97C83" w:rsidRPr="00474157">
        <w:rPr>
          <w:rFonts w:ascii="Calibri" w:hAnsi="Calibri" w:cs="Calibri"/>
        </w:rPr>
        <w:br/>
      </w:r>
      <w:r w:rsidRPr="00474157">
        <w:rPr>
          <w:rFonts w:ascii="Calibri" w:eastAsia="Aptos" w:hAnsi="Calibri" w:cs="Calibri"/>
        </w:rPr>
        <w:t xml:space="preserve"> During the first two weeks of the placement, an induction will take place, during which staff will assess the student’s needs and evaluate the suitability of the placement. A review will be held at the end of this period, involving all stakeholders, to determine whether the placement should continue.</w:t>
      </w:r>
    </w:p>
    <w:p w14:paraId="5A5B861F" w14:textId="71317258" w:rsidR="00DF7FFE" w:rsidRPr="00474157" w:rsidRDefault="1E07A4FA" w:rsidP="6E4D0524">
      <w:pPr>
        <w:pStyle w:val="Heading3"/>
        <w:spacing w:before="281" w:after="281"/>
        <w:rPr>
          <w:rFonts w:ascii="Calibri" w:hAnsi="Calibri" w:cs="Calibri"/>
        </w:rPr>
      </w:pPr>
      <w:r w:rsidRPr="00474157">
        <w:rPr>
          <w:rFonts w:ascii="Calibri" w:eastAsia="Aptos" w:hAnsi="Calibri" w:cs="Calibri"/>
          <w:b/>
          <w:bCs/>
        </w:rPr>
        <w:t>Admissions Register</w:t>
      </w:r>
    </w:p>
    <w:p w14:paraId="7C1F0F47" w14:textId="7CC0CAA1" w:rsidR="00DF7FFE" w:rsidRPr="00474157" w:rsidRDefault="1E07A4FA" w:rsidP="6E4D0524">
      <w:pPr>
        <w:spacing w:before="240" w:after="240"/>
        <w:rPr>
          <w:rFonts w:ascii="Calibri" w:hAnsi="Calibri" w:cs="Calibri"/>
        </w:rPr>
      </w:pPr>
      <w:r w:rsidRPr="00474157">
        <w:rPr>
          <w:rFonts w:ascii="Calibri" w:eastAsia="Aptos" w:hAnsi="Calibri" w:cs="Calibri"/>
        </w:rPr>
        <w:t>Upon acceptance into a Beacon Alternative Provision programme, the following information must be recorded in our Management Information System (MIS):</w:t>
      </w:r>
    </w:p>
    <w:p w14:paraId="59F40B44" w14:textId="0F11CC09" w:rsidR="00DF7FFE" w:rsidRPr="00474157" w:rsidRDefault="1E07A4FA" w:rsidP="6E4D0524">
      <w:pPr>
        <w:pStyle w:val="ListParagraph"/>
        <w:numPr>
          <w:ilvl w:val="0"/>
          <w:numId w:val="2"/>
        </w:numPr>
        <w:spacing w:before="240" w:after="240"/>
        <w:rPr>
          <w:rFonts w:ascii="Calibri" w:eastAsia="Aptos" w:hAnsi="Calibri" w:cs="Calibri"/>
        </w:rPr>
      </w:pPr>
      <w:r w:rsidRPr="00474157">
        <w:rPr>
          <w:rFonts w:ascii="Calibri" w:eastAsia="Aptos" w:hAnsi="Calibri" w:cs="Calibri"/>
        </w:rPr>
        <w:t>The young person’s full name</w:t>
      </w:r>
    </w:p>
    <w:p w14:paraId="3BBE8F53" w14:textId="5B9E4648" w:rsidR="00DF7FFE" w:rsidRPr="00474157" w:rsidRDefault="1E07A4FA" w:rsidP="6E4D0524">
      <w:pPr>
        <w:pStyle w:val="ListParagraph"/>
        <w:numPr>
          <w:ilvl w:val="0"/>
          <w:numId w:val="2"/>
        </w:numPr>
        <w:spacing w:before="240" w:after="240"/>
        <w:rPr>
          <w:rFonts w:ascii="Calibri" w:eastAsia="Aptos" w:hAnsi="Calibri" w:cs="Calibri"/>
        </w:rPr>
      </w:pPr>
      <w:r w:rsidRPr="00474157">
        <w:rPr>
          <w:rFonts w:ascii="Calibri" w:eastAsia="Aptos" w:hAnsi="Calibri" w:cs="Calibri"/>
        </w:rPr>
        <w:t>The young person’s gender</w:t>
      </w:r>
    </w:p>
    <w:p w14:paraId="2F2E1736" w14:textId="4B9FC105" w:rsidR="00DF7FFE" w:rsidRPr="00474157" w:rsidRDefault="1E07A4FA" w:rsidP="6E4D0524">
      <w:pPr>
        <w:pStyle w:val="ListParagraph"/>
        <w:numPr>
          <w:ilvl w:val="0"/>
          <w:numId w:val="2"/>
        </w:numPr>
        <w:spacing w:before="240" w:after="240"/>
        <w:rPr>
          <w:rFonts w:ascii="Calibri" w:eastAsia="Aptos" w:hAnsi="Calibri" w:cs="Calibri"/>
        </w:rPr>
      </w:pPr>
      <w:r w:rsidRPr="00474157">
        <w:rPr>
          <w:rFonts w:ascii="Calibri" w:eastAsia="Aptos" w:hAnsi="Calibri" w:cs="Calibri"/>
        </w:rPr>
        <w:t>The young person’s date of birth</w:t>
      </w:r>
    </w:p>
    <w:p w14:paraId="7E57503E" w14:textId="2771861D" w:rsidR="00DF7FFE" w:rsidRPr="00474157" w:rsidRDefault="1E07A4FA" w:rsidP="6E4D0524">
      <w:pPr>
        <w:pStyle w:val="ListParagraph"/>
        <w:numPr>
          <w:ilvl w:val="0"/>
          <w:numId w:val="2"/>
        </w:numPr>
        <w:spacing w:before="240" w:after="240"/>
        <w:rPr>
          <w:rFonts w:ascii="Calibri" w:eastAsia="Aptos" w:hAnsi="Calibri" w:cs="Calibri"/>
        </w:rPr>
      </w:pPr>
      <w:r w:rsidRPr="00474157">
        <w:rPr>
          <w:rFonts w:ascii="Calibri" w:eastAsia="Aptos" w:hAnsi="Calibri" w:cs="Calibri"/>
        </w:rPr>
        <w:t xml:space="preserve">The date the young person was admitted to </w:t>
      </w:r>
      <w:r w:rsidR="000C1AF3">
        <w:rPr>
          <w:rFonts w:ascii="Calibri" w:eastAsia="Aptos" w:hAnsi="Calibri" w:cs="Calibri"/>
        </w:rPr>
        <w:t>Beacon</w:t>
      </w:r>
    </w:p>
    <w:p w14:paraId="645953C0" w14:textId="79E178C8" w:rsidR="00DF7FFE" w:rsidRPr="00474157" w:rsidRDefault="1E07A4FA" w:rsidP="6E4D0524">
      <w:pPr>
        <w:pStyle w:val="ListParagraph"/>
        <w:numPr>
          <w:ilvl w:val="0"/>
          <w:numId w:val="2"/>
        </w:numPr>
        <w:spacing w:before="240" w:after="240"/>
        <w:rPr>
          <w:rFonts w:ascii="Calibri" w:eastAsia="Aptos" w:hAnsi="Calibri" w:cs="Calibri"/>
        </w:rPr>
      </w:pPr>
      <w:r w:rsidRPr="00474157">
        <w:rPr>
          <w:rFonts w:ascii="Calibri" w:eastAsia="Aptos" w:hAnsi="Calibri" w:cs="Calibri"/>
        </w:rPr>
        <w:t>The name of the school or organisation that referred the young person</w:t>
      </w:r>
    </w:p>
    <w:p w14:paraId="2222B7B0" w14:textId="3C9A78A0" w:rsidR="00DF7FFE" w:rsidRPr="00474157" w:rsidRDefault="1E07A4FA" w:rsidP="6E4D0524">
      <w:pPr>
        <w:spacing w:before="240" w:after="240"/>
        <w:rPr>
          <w:rFonts w:ascii="Calibri" w:hAnsi="Calibri" w:cs="Calibri"/>
        </w:rPr>
      </w:pPr>
      <w:r w:rsidRPr="00474157">
        <w:rPr>
          <w:rFonts w:ascii="Calibri" w:eastAsia="Aptos" w:hAnsi="Calibri" w:cs="Calibri"/>
        </w:rPr>
        <w:t>The following information about parents and carers must also be recorded:</w:t>
      </w:r>
    </w:p>
    <w:p w14:paraId="59B88CC7" w14:textId="30AD683C" w:rsidR="00DF7FFE" w:rsidRPr="00474157" w:rsidRDefault="1E07A4FA" w:rsidP="6E4D0524">
      <w:pPr>
        <w:pStyle w:val="ListParagraph"/>
        <w:numPr>
          <w:ilvl w:val="0"/>
          <w:numId w:val="1"/>
        </w:numPr>
        <w:spacing w:before="240" w:after="240"/>
        <w:rPr>
          <w:rFonts w:ascii="Calibri" w:eastAsia="Aptos" w:hAnsi="Calibri" w:cs="Calibri"/>
        </w:rPr>
      </w:pPr>
      <w:r w:rsidRPr="00474157">
        <w:rPr>
          <w:rFonts w:ascii="Calibri" w:eastAsia="Aptos" w:hAnsi="Calibri" w:cs="Calibri"/>
        </w:rPr>
        <w:t>The name and address of each known parent or carer of the young person</w:t>
      </w:r>
    </w:p>
    <w:p w14:paraId="3ADECAFE" w14:textId="73F229A8" w:rsidR="00DF7FFE" w:rsidRPr="00474157" w:rsidRDefault="1E07A4FA" w:rsidP="6E4D0524">
      <w:pPr>
        <w:pStyle w:val="ListParagraph"/>
        <w:numPr>
          <w:ilvl w:val="0"/>
          <w:numId w:val="1"/>
        </w:numPr>
        <w:spacing w:before="240" w:after="240"/>
        <w:rPr>
          <w:rFonts w:ascii="Calibri" w:eastAsia="Aptos" w:hAnsi="Calibri" w:cs="Calibri"/>
        </w:rPr>
      </w:pPr>
      <w:r w:rsidRPr="00474157">
        <w:rPr>
          <w:rFonts w:ascii="Calibri" w:eastAsia="Aptos" w:hAnsi="Calibri" w:cs="Calibri"/>
        </w:rPr>
        <w:t>Information on which parent or carer the young person typically resides with</w:t>
      </w:r>
    </w:p>
    <w:p w14:paraId="697091F5" w14:textId="7C3657DF" w:rsidR="00DF7FFE" w:rsidRPr="00474157" w:rsidRDefault="1E07A4FA" w:rsidP="6E4D0524">
      <w:pPr>
        <w:pStyle w:val="ListParagraph"/>
        <w:numPr>
          <w:ilvl w:val="0"/>
          <w:numId w:val="1"/>
        </w:numPr>
        <w:spacing w:before="240" w:after="240"/>
        <w:rPr>
          <w:rFonts w:ascii="Calibri" w:eastAsia="Aptos" w:hAnsi="Calibri" w:cs="Calibri"/>
        </w:rPr>
      </w:pPr>
      <w:r w:rsidRPr="00474157">
        <w:rPr>
          <w:rFonts w:ascii="Calibri" w:eastAsia="Aptos" w:hAnsi="Calibri" w:cs="Calibri"/>
        </w:rPr>
        <w:t>Emergency contact details for each parent or carer</w:t>
      </w:r>
    </w:p>
    <w:p w14:paraId="5E5787A5" w14:textId="2ADA0426" w:rsidR="00DF7FFE" w:rsidRPr="00474157" w:rsidRDefault="00DF7FFE">
      <w:pPr>
        <w:rPr>
          <w:rFonts w:ascii="Calibri" w:hAnsi="Calibri" w:cs="Calibri"/>
        </w:rPr>
      </w:pPr>
    </w:p>
    <w:sectPr w:rsidR="00DF7FFE" w:rsidRPr="00474157" w:rsidSect="002F2163">
      <w:footerReference w:type="default" r:id="rId8"/>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CA95F" w14:textId="77777777" w:rsidR="00050552" w:rsidRDefault="00050552">
      <w:pPr>
        <w:spacing w:after="0" w:line="240" w:lineRule="auto"/>
      </w:pPr>
      <w:r>
        <w:separator/>
      </w:r>
    </w:p>
  </w:endnote>
  <w:endnote w:type="continuationSeparator" w:id="0">
    <w:p w14:paraId="148D4C0F" w14:textId="77777777" w:rsidR="00050552" w:rsidRDefault="0005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6E4D0524" w14:paraId="24F46F06" w14:textId="77777777" w:rsidTr="6E4D0524">
      <w:trPr>
        <w:trHeight w:val="300"/>
      </w:trPr>
      <w:tc>
        <w:tcPr>
          <w:tcW w:w="3005" w:type="dxa"/>
        </w:tcPr>
        <w:p w14:paraId="609EDEC5" w14:textId="6766D346" w:rsidR="6E4D0524" w:rsidRDefault="6E4D0524" w:rsidP="6E4D0524">
          <w:pPr>
            <w:pStyle w:val="Header"/>
            <w:ind w:left="-115"/>
          </w:pPr>
        </w:p>
      </w:tc>
      <w:tc>
        <w:tcPr>
          <w:tcW w:w="3005" w:type="dxa"/>
        </w:tcPr>
        <w:p w14:paraId="187FCFA6" w14:textId="1109154A" w:rsidR="6E4D0524" w:rsidRDefault="6E4D0524" w:rsidP="6E4D0524">
          <w:pPr>
            <w:pStyle w:val="Header"/>
            <w:jc w:val="center"/>
          </w:pPr>
        </w:p>
      </w:tc>
      <w:tc>
        <w:tcPr>
          <w:tcW w:w="3005" w:type="dxa"/>
        </w:tcPr>
        <w:p w14:paraId="6A0D936C" w14:textId="5AD78BFC" w:rsidR="6E4D0524" w:rsidRDefault="6E4D0524" w:rsidP="6E4D0524">
          <w:pPr>
            <w:pStyle w:val="Header"/>
            <w:ind w:right="-115"/>
            <w:jc w:val="right"/>
          </w:pPr>
        </w:p>
      </w:tc>
    </w:tr>
  </w:tbl>
  <w:p w14:paraId="76E4A191" w14:textId="230B8F63" w:rsidR="6E4D0524" w:rsidRDefault="6E4D0524" w:rsidP="6E4D0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BAA6E" w14:textId="77777777" w:rsidR="00050552" w:rsidRDefault="00050552">
      <w:pPr>
        <w:spacing w:after="0" w:line="240" w:lineRule="auto"/>
      </w:pPr>
      <w:r>
        <w:separator/>
      </w:r>
    </w:p>
  </w:footnote>
  <w:footnote w:type="continuationSeparator" w:id="0">
    <w:p w14:paraId="316CF8DC" w14:textId="77777777" w:rsidR="00050552" w:rsidRDefault="00050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E8BC"/>
    <w:multiLevelType w:val="hybridMultilevel"/>
    <w:tmpl w:val="95401C2A"/>
    <w:lvl w:ilvl="0" w:tplc="C35C53AC">
      <w:start w:val="1"/>
      <w:numFmt w:val="decimal"/>
      <w:lvlText w:val="%1."/>
      <w:lvlJc w:val="left"/>
      <w:pPr>
        <w:ind w:left="720" w:hanging="360"/>
      </w:pPr>
    </w:lvl>
    <w:lvl w:ilvl="1" w:tplc="5EA2F4B0">
      <w:start w:val="1"/>
      <w:numFmt w:val="lowerLetter"/>
      <w:lvlText w:val="%2."/>
      <w:lvlJc w:val="left"/>
      <w:pPr>
        <w:ind w:left="1440" w:hanging="360"/>
      </w:pPr>
    </w:lvl>
    <w:lvl w:ilvl="2" w:tplc="C6288A06">
      <w:start w:val="1"/>
      <w:numFmt w:val="lowerRoman"/>
      <w:lvlText w:val="%3."/>
      <w:lvlJc w:val="right"/>
      <w:pPr>
        <w:ind w:left="2160" w:hanging="180"/>
      </w:pPr>
    </w:lvl>
    <w:lvl w:ilvl="3" w:tplc="AC70DF7E">
      <w:start w:val="1"/>
      <w:numFmt w:val="decimal"/>
      <w:lvlText w:val="%4."/>
      <w:lvlJc w:val="left"/>
      <w:pPr>
        <w:ind w:left="2880" w:hanging="360"/>
      </w:pPr>
    </w:lvl>
    <w:lvl w:ilvl="4" w:tplc="893AE99A">
      <w:start w:val="1"/>
      <w:numFmt w:val="lowerLetter"/>
      <w:lvlText w:val="%5."/>
      <w:lvlJc w:val="left"/>
      <w:pPr>
        <w:ind w:left="3600" w:hanging="360"/>
      </w:pPr>
    </w:lvl>
    <w:lvl w:ilvl="5" w:tplc="35C8BE0A">
      <w:start w:val="1"/>
      <w:numFmt w:val="lowerRoman"/>
      <w:lvlText w:val="%6."/>
      <w:lvlJc w:val="right"/>
      <w:pPr>
        <w:ind w:left="4320" w:hanging="180"/>
      </w:pPr>
    </w:lvl>
    <w:lvl w:ilvl="6" w:tplc="FA508A08">
      <w:start w:val="1"/>
      <w:numFmt w:val="decimal"/>
      <w:lvlText w:val="%7."/>
      <w:lvlJc w:val="left"/>
      <w:pPr>
        <w:ind w:left="5040" w:hanging="360"/>
      </w:pPr>
    </w:lvl>
    <w:lvl w:ilvl="7" w:tplc="D9BEFE10">
      <w:start w:val="1"/>
      <w:numFmt w:val="lowerLetter"/>
      <w:lvlText w:val="%8."/>
      <w:lvlJc w:val="left"/>
      <w:pPr>
        <w:ind w:left="5760" w:hanging="360"/>
      </w:pPr>
    </w:lvl>
    <w:lvl w:ilvl="8" w:tplc="57FA6E0E">
      <w:start w:val="1"/>
      <w:numFmt w:val="lowerRoman"/>
      <w:lvlText w:val="%9."/>
      <w:lvlJc w:val="right"/>
      <w:pPr>
        <w:ind w:left="6480" w:hanging="180"/>
      </w:pPr>
    </w:lvl>
  </w:abstractNum>
  <w:abstractNum w:abstractNumId="1" w15:restartNumberingAfterBreak="0">
    <w:nsid w:val="09436291"/>
    <w:multiLevelType w:val="hybridMultilevel"/>
    <w:tmpl w:val="8F4A9914"/>
    <w:lvl w:ilvl="0" w:tplc="FDD68D3C">
      <w:start w:val="1"/>
      <w:numFmt w:val="bullet"/>
      <w:lvlText w:val=""/>
      <w:lvlJc w:val="left"/>
      <w:pPr>
        <w:ind w:left="720" w:hanging="360"/>
      </w:pPr>
      <w:rPr>
        <w:rFonts w:ascii="Symbol" w:hAnsi="Symbol" w:hint="default"/>
      </w:rPr>
    </w:lvl>
    <w:lvl w:ilvl="1" w:tplc="D0CCCAEA">
      <w:start w:val="1"/>
      <w:numFmt w:val="bullet"/>
      <w:lvlText w:val="o"/>
      <w:lvlJc w:val="left"/>
      <w:pPr>
        <w:ind w:left="1440" w:hanging="360"/>
      </w:pPr>
      <w:rPr>
        <w:rFonts w:ascii="Courier New" w:hAnsi="Courier New" w:hint="default"/>
      </w:rPr>
    </w:lvl>
    <w:lvl w:ilvl="2" w:tplc="F4505C18">
      <w:start w:val="1"/>
      <w:numFmt w:val="bullet"/>
      <w:lvlText w:val=""/>
      <w:lvlJc w:val="left"/>
      <w:pPr>
        <w:ind w:left="2160" w:hanging="360"/>
      </w:pPr>
      <w:rPr>
        <w:rFonts w:ascii="Wingdings" w:hAnsi="Wingdings" w:hint="default"/>
      </w:rPr>
    </w:lvl>
    <w:lvl w:ilvl="3" w:tplc="963ACE68">
      <w:start w:val="1"/>
      <w:numFmt w:val="bullet"/>
      <w:lvlText w:val=""/>
      <w:lvlJc w:val="left"/>
      <w:pPr>
        <w:ind w:left="2880" w:hanging="360"/>
      </w:pPr>
      <w:rPr>
        <w:rFonts w:ascii="Symbol" w:hAnsi="Symbol" w:hint="default"/>
      </w:rPr>
    </w:lvl>
    <w:lvl w:ilvl="4" w:tplc="1CA68140">
      <w:start w:val="1"/>
      <w:numFmt w:val="bullet"/>
      <w:lvlText w:val="o"/>
      <w:lvlJc w:val="left"/>
      <w:pPr>
        <w:ind w:left="3600" w:hanging="360"/>
      </w:pPr>
      <w:rPr>
        <w:rFonts w:ascii="Courier New" w:hAnsi="Courier New" w:hint="default"/>
      </w:rPr>
    </w:lvl>
    <w:lvl w:ilvl="5" w:tplc="033EC442">
      <w:start w:val="1"/>
      <w:numFmt w:val="bullet"/>
      <w:lvlText w:val=""/>
      <w:lvlJc w:val="left"/>
      <w:pPr>
        <w:ind w:left="4320" w:hanging="360"/>
      </w:pPr>
      <w:rPr>
        <w:rFonts w:ascii="Wingdings" w:hAnsi="Wingdings" w:hint="default"/>
      </w:rPr>
    </w:lvl>
    <w:lvl w:ilvl="6" w:tplc="ACBE9DF8">
      <w:start w:val="1"/>
      <w:numFmt w:val="bullet"/>
      <w:lvlText w:val=""/>
      <w:lvlJc w:val="left"/>
      <w:pPr>
        <w:ind w:left="5040" w:hanging="360"/>
      </w:pPr>
      <w:rPr>
        <w:rFonts w:ascii="Symbol" w:hAnsi="Symbol" w:hint="default"/>
      </w:rPr>
    </w:lvl>
    <w:lvl w:ilvl="7" w:tplc="B1383CB6">
      <w:start w:val="1"/>
      <w:numFmt w:val="bullet"/>
      <w:lvlText w:val="o"/>
      <w:lvlJc w:val="left"/>
      <w:pPr>
        <w:ind w:left="5760" w:hanging="360"/>
      </w:pPr>
      <w:rPr>
        <w:rFonts w:ascii="Courier New" w:hAnsi="Courier New" w:hint="default"/>
      </w:rPr>
    </w:lvl>
    <w:lvl w:ilvl="8" w:tplc="77B26CEE">
      <w:start w:val="1"/>
      <w:numFmt w:val="bullet"/>
      <w:lvlText w:val=""/>
      <w:lvlJc w:val="left"/>
      <w:pPr>
        <w:ind w:left="6480" w:hanging="360"/>
      </w:pPr>
      <w:rPr>
        <w:rFonts w:ascii="Wingdings" w:hAnsi="Wingdings" w:hint="default"/>
      </w:rPr>
    </w:lvl>
  </w:abstractNum>
  <w:abstractNum w:abstractNumId="2" w15:restartNumberingAfterBreak="0">
    <w:nsid w:val="0F86323F"/>
    <w:multiLevelType w:val="hybridMultilevel"/>
    <w:tmpl w:val="23FE1A76"/>
    <w:lvl w:ilvl="0" w:tplc="8B8CED4A">
      <w:start w:val="1"/>
      <w:numFmt w:val="decimal"/>
      <w:lvlText w:val="%1."/>
      <w:lvlJc w:val="left"/>
      <w:pPr>
        <w:ind w:left="720" w:hanging="360"/>
      </w:pPr>
    </w:lvl>
    <w:lvl w:ilvl="1" w:tplc="BEF2F6CA">
      <w:start w:val="1"/>
      <w:numFmt w:val="lowerLetter"/>
      <w:lvlText w:val="%2."/>
      <w:lvlJc w:val="left"/>
      <w:pPr>
        <w:ind w:left="1440" w:hanging="360"/>
      </w:pPr>
    </w:lvl>
    <w:lvl w:ilvl="2" w:tplc="58AAF05A">
      <w:start w:val="1"/>
      <w:numFmt w:val="lowerRoman"/>
      <w:lvlText w:val="%3."/>
      <w:lvlJc w:val="right"/>
      <w:pPr>
        <w:ind w:left="2160" w:hanging="180"/>
      </w:pPr>
    </w:lvl>
    <w:lvl w:ilvl="3" w:tplc="5FD4E10C">
      <w:start w:val="1"/>
      <w:numFmt w:val="decimal"/>
      <w:lvlText w:val="%4."/>
      <w:lvlJc w:val="left"/>
      <w:pPr>
        <w:ind w:left="2880" w:hanging="360"/>
      </w:pPr>
    </w:lvl>
    <w:lvl w:ilvl="4" w:tplc="1A48AEF0">
      <w:start w:val="1"/>
      <w:numFmt w:val="lowerLetter"/>
      <w:lvlText w:val="%5."/>
      <w:lvlJc w:val="left"/>
      <w:pPr>
        <w:ind w:left="3600" w:hanging="360"/>
      </w:pPr>
    </w:lvl>
    <w:lvl w:ilvl="5" w:tplc="E400500C">
      <w:start w:val="1"/>
      <w:numFmt w:val="lowerRoman"/>
      <w:lvlText w:val="%6."/>
      <w:lvlJc w:val="right"/>
      <w:pPr>
        <w:ind w:left="4320" w:hanging="180"/>
      </w:pPr>
    </w:lvl>
    <w:lvl w:ilvl="6" w:tplc="56DA6B22">
      <w:start w:val="1"/>
      <w:numFmt w:val="decimal"/>
      <w:lvlText w:val="%7."/>
      <w:lvlJc w:val="left"/>
      <w:pPr>
        <w:ind w:left="5040" w:hanging="360"/>
      </w:pPr>
    </w:lvl>
    <w:lvl w:ilvl="7" w:tplc="6A5A7868">
      <w:start w:val="1"/>
      <w:numFmt w:val="lowerLetter"/>
      <w:lvlText w:val="%8."/>
      <w:lvlJc w:val="left"/>
      <w:pPr>
        <w:ind w:left="5760" w:hanging="360"/>
      </w:pPr>
    </w:lvl>
    <w:lvl w:ilvl="8" w:tplc="AD68E3D0">
      <w:start w:val="1"/>
      <w:numFmt w:val="lowerRoman"/>
      <w:lvlText w:val="%9."/>
      <w:lvlJc w:val="right"/>
      <w:pPr>
        <w:ind w:left="6480" w:hanging="180"/>
      </w:pPr>
    </w:lvl>
  </w:abstractNum>
  <w:abstractNum w:abstractNumId="3" w15:restartNumberingAfterBreak="0">
    <w:nsid w:val="756DF5F1"/>
    <w:multiLevelType w:val="hybridMultilevel"/>
    <w:tmpl w:val="F09C1482"/>
    <w:lvl w:ilvl="0" w:tplc="21922E2A">
      <w:start w:val="1"/>
      <w:numFmt w:val="bullet"/>
      <w:lvlText w:val=""/>
      <w:lvlJc w:val="left"/>
      <w:pPr>
        <w:ind w:left="720" w:hanging="360"/>
      </w:pPr>
      <w:rPr>
        <w:rFonts w:ascii="Symbol" w:hAnsi="Symbol" w:hint="default"/>
      </w:rPr>
    </w:lvl>
    <w:lvl w:ilvl="1" w:tplc="47ECB14A">
      <w:start w:val="1"/>
      <w:numFmt w:val="bullet"/>
      <w:lvlText w:val="o"/>
      <w:lvlJc w:val="left"/>
      <w:pPr>
        <w:ind w:left="1440" w:hanging="360"/>
      </w:pPr>
      <w:rPr>
        <w:rFonts w:ascii="Courier New" w:hAnsi="Courier New" w:hint="default"/>
      </w:rPr>
    </w:lvl>
    <w:lvl w:ilvl="2" w:tplc="DEDC5CDE">
      <w:start w:val="1"/>
      <w:numFmt w:val="bullet"/>
      <w:lvlText w:val=""/>
      <w:lvlJc w:val="left"/>
      <w:pPr>
        <w:ind w:left="2160" w:hanging="360"/>
      </w:pPr>
      <w:rPr>
        <w:rFonts w:ascii="Wingdings" w:hAnsi="Wingdings" w:hint="default"/>
      </w:rPr>
    </w:lvl>
    <w:lvl w:ilvl="3" w:tplc="3FB8E1E0">
      <w:start w:val="1"/>
      <w:numFmt w:val="bullet"/>
      <w:lvlText w:val=""/>
      <w:lvlJc w:val="left"/>
      <w:pPr>
        <w:ind w:left="2880" w:hanging="360"/>
      </w:pPr>
      <w:rPr>
        <w:rFonts w:ascii="Symbol" w:hAnsi="Symbol" w:hint="default"/>
      </w:rPr>
    </w:lvl>
    <w:lvl w:ilvl="4" w:tplc="E5847C7A">
      <w:start w:val="1"/>
      <w:numFmt w:val="bullet"/>
      <w:lvlText w:val="o"/>
      <w:lvlJc w:val="left"/>
      <w:pPr>
        <w:ind w:left="3600" w:hanging="360"/>
      </w:pPr>
      <w:rPr>
        <w:rFonts w:ascii="Courier New" w:hAnsi="Courier New" w:hint="default"/>
      </w:rPr>
    </w:lvl>
    <w:lvl w:ilvl="5" w:tplc="B35C4616">
      <w:start w:val="1"/>
      <w:numFmt w:val="bullet"/>
      <w:lvlText w:val=""/>
      <w:lvlJc w:val="left"/>
      <w:pPr>
        <w:ind w:left="4320" w:hanging="360"/>
      </w:pPr>
      <w:rPr>
        <w:rFonts w:ascii="Wingdings" w:hAnsi="Wingdings" w:hint="default"/>
      </w:rPr>
    </w:lvl>
    <w:lvl w:ilvl="6" w:tplc="4D7E45B8">
      <w:start w:val="1"/>
      <w:numFmt w:val="bullet"/>
      <w:lvlText w:val=""/>
      <w:lvlJc w:val="left"/>
      <w:pPr>
        <w:ind w:left="5040" w:hanging="360"/>
      </w:pPr>
      <w:rPr>
        <w:rFonts w:ascii="Symbol" w:hAnsi="Symbol" w:hint="default"/>
      </w:rPr>
    </w:lvl>
    <w:lvl w:ilvl="7" w:tplc="322C27B6">
      <w:start w:val="1"/>
      <w:numFmt w:val="bullet"/>
      <w:lvlText w:val="o"/>
      <w:lvlJc w:val="left"/>
      <w:pPr>
        <w:ind w:left="5760" w:hanging="360"/>
      </w:pPr>
      <w:rPr>
        <w:rFonts w:ascii="Courier New" w:hAnsi="Courier New" w:hint="default"/>
      </w:rPr>
    </w:lvl>
    <w:lvl w:ilvl="8" w:tplc="D744E0E4">
      <w:start w:val="1"/>
      <w:numFmt w:val="bullet"/>
      <w:lvlText w:val=""/>
      <w:lvlJc w:val="left"/>
      <w:pPr>
        <w:ind w:left="6480" w:hanging="360"/>
      </w:pPr>
      <w:rPr>
        <w:rFonts w:ascii="Wingdings" w:hAnsi="Wingdings" w:hint="default"/>
      </w:rPr>
    </w:lvl>
  </w:abstractNum>
  <w:num w:numId="1" w16cid:durableId="576986688">
    <w:abstractNumId w:val="3"/>
  </w:num>
  <w:num w:numId="2" w16cid:durableId="1833452523">
    <w:abstractNumId w:val="1"/>
  </w:num>
  <w:num w:numId="3" w16cid:durableId="1277831637">
    <w:abstractNumId w:val="2"/>
  </w:num>
  <w:num w:numId="4" w16cid:durableId="113163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A276F95"/>
    <w:rsid w:val="00050552"/>
    <w:rsid w:val="000C1AF3"/>
    <w:rsid w:val="00103633"/>
    <w:rsid w:val="002F2163"/>
    <w:rsid w:val="003869DC"/>
    <w:rsid w:val="0046390C"/>
    <w:rsid w:val="00474157"/>
    <w:rsid w:val="005F101C"/>
    <w:rsid w:val="00644E22"/>
    <w:rsid w:val="00744136"/>
    <w:rsid w:val="00A20D81"/>
    <w:rsid w:val="00B46975"/>
    <w:rsid w:val="00B909D2"/>
    <w:rsid w:val="00CE7E1F"/>
    <w:rsid w:val="00D446E5"/>
    <w:rsid w:val="00DF7FFE"/>
    <w:rsid w:val="00E5673E"/>
    <w:rsid w:val="00E908B8"/>
    <w:rsid w:val="00EC4EB7"/>
    <w:rsid w:val="00F97C83"/>
    <w:rsid w:val="01228EE1"/>
    <w:rsid w:val="16F7503C"/>
    <w:rsid w:val="1E07A4FA"/>
    <w:rsid w:val="5A276F95"/>
    <w:rsid w:val="6E4D0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76F95"/>
  <w15:chartTrackingRefBased/>
  <w15:docId w15:val="{80ED77E6-760C-460E-B287-84994730F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6E4D0524"/>
    <w:pPr>
      <w:ind w:left="720"/>
      <w:contextualSpacing/>
    </w:pPr>
  </w:style>
  <w:style w:type="paragraph" w:styleId="Header">
    <w:name w:val="header"/>
    <w:basedOn w:val="Normal"/>
    <w:uiPriority w:val="99"/>
    <w:unhideWhenUsed/>
    <w:rsid w:val="6E4D0524"/>
    <w:pPr>
      <w:tabs>
        <w:tab w:val="center" w:pos="4680"/>
        <w:tab w:val="right" w:pos="9360"/>
      </w:tabs>
      <w:spacing w:after="0" w:line="240" w:lineRule="auto"/>
    </w:pPr>
  </w:style>
  <w:style w:type="paragraph" w:styleId="Footer">
    <w:name w:val="footer"/>
    <w:basedOn w:val="Normal"/>
    <w:uiPriority w:val="99"/>
    <w:unhideWhenUsed/>
    <w:rsid w:val="6E4D052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O'Connell</dc:creator>
  <cp:keywords/>
  <dc:description/>
  <cp:lastModifiedBy>Fiona Field</cp:lastModifiedBy>
  <cp:revision>5</cp:revision>
  <dcterms:created xsi:type="dcterms:W3CDTF">2025-04-09T10:06:00Z</dcterms:created>
  <dcterms:modified xsi:type="dcterms:W3CDTF">2025-04-29T06:06:00Z</dcterms:modified>
</cp:coreProperties>
</file>