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5BB3" w14:textId="59C6BBB3" w:rsidR="000658BE" w:rsidRPr="000658BE" w:rsidRDefault="000658BE" w:rsidP="000658B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0658BE">
        <w:rPr>
          <w:rFonts w:eastAsia="Times New Roman" w:cs="Times New Roman"/>
          <w:b/>
          <w:bCs/>
          <w:sz w:val="40"/>
          <w:szCs w:val="40"/>
          <w:lang w:eastAsia="en-GB"/>
        </w:rPr>
        <w:t>Beacon Alternative Provision</w:t>
      </w:r>
    </w:p>
    <w:p w14:paraId="6C19331A" w14:textId="6F48BD6A" w:rsidR="000658BE" w:rsidRDefault="000658BE" w:rsidP="000658B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0658BE">
        <w:rPr>
          <w:rFonts w:eastAsia="Times New Roman" w:cs="Times New Roman"/>
          <w:b/>
          <w:bCs/>
          <w:sz w:val="40"/>
          <w:szCs w:val="40"/>
          <w:lang w:eastAsia="en-GB"/>
        </w:rPr>
        <w:t>Equality and Diversity Policy</w:t>
      </w:r>
    </w:p>
    <w:p w14:paraId="13EFF49C" w14:textId="2AAB0BB5" w:rsidR="000658BE" w:rsidRDefault="000658BE" w:rsidP="000658B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Pr>
          <w:rFonts w:eastAsia="Times New Roman" w:cs="Times New Roman"/>
          <w:b/>
          <w:bCs/>
          <w:noProof/>
          <w:sz w:val="40"/>
          <w:szCs w:val="40"/>
          <w:lang w:eastAsia="en-GB"/>
        </w:rPr>
        <w:drawing>
          <wp:inline distT="0" distB="0" distL="0" distR="0" wp14:anchorId="7EECE449" wp14:editId="49BB5186">
            <wp:extent cx="829310" cy="5189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54978C3C" w14:textId="13BD9AF5" w:rsidR="000658BE" w:rsidRPr="00380ABE" w:rsidRDefault="000658BE" w:rsidP="000658B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lang w:eastAsia="en-GB"/>
        </w:rPr>
      </w:pPr>
    </w:p>
    <w:p w14:paraId="2231C872" w14:textId="77777777" w:rsidR="00380ABE" w:rsidRDefault="00380ABE" w:rsidP="00380ABE">
      <w:pPr>
        <w:spacing w:before="240" w:after="240"/>
        <w:jc w:val="center"/>
        <w:rPr>
          <w:rFonts w:ascii="Calibri" w:eastAsia="Times New Roman" w:hAnsi="Calibri" w:cs="Calibri"/>
          <w:sz w:val="24"/>
          <w:szCs w:val="24"/>
          <w:lang w:eastAsia="en-GB"/>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r w:rsidRPr="00A21D2E">
        <w:rPr>
          <w:rFonts w:ascii="Calibri" w:eastAsia="Times New Roman" w:hAnsi="Calibri" w:cs="Calibri"/>
          <w:sz w:val="24"/>
          <w:szCs w:val="24"/>
          <w:lang w:eastAsia="en-GB"/>
        </w:rPr>
        <w:pict w14:anchorId="6F336836">
          <v:rect id="_x0000_i1025" style="width:0;height:1.5pt" o:hralign="center" o:hrstd="t" o:hr="t" fillcolor="#a0a0a0" stroked="f"/>
        </w:pict>
      </w:r>
    </w:p>
    <w:p w14:paraId="1DCA4BD5"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1. Introduction</w:t>
      </w:r>
    </w:p>
    <w:p w14:paraId="74CBE6B1"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Beacon Alternative Provision is committed to promoting equality and diversity in all its practices. We aim to provide an inclusive environment that supports the needs of all children, irrespective of their background, and ensure that each child receives the best possible educational opportunities.</w:t>
      </w:r>
    </w:p>
    <w:p w14:paraId="4D5E1CF8"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2. Commitment to Equal Opportunities</w:t>
      </w:r>
    </w:p>
    <w:p w14:paraId="2E8A3BEC"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Beacon Alternative Provision is dedicated to:</w:t>
      </w:r>
    </w:p>
    <w:p w14:paraId="0829A0CF" w14:textId="77777777" w:rsidR="000658BE" w:rsidRPr="000658BE" w:rsidRDefault="000658BE" w:rsidP="000658BE">
      <w:pPr>
        <w:numPr>
          <w:ilvl w:val="0"/>
          <w:numId w:val="1"/>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Ensuring that all children, staff, and stakeholders are treated fairly and with respect.</w:t>
      </w:r>
    </w:p>
    <w:p w14:paraId="400AD108" w14:textId="77777777" w:rsidR="000658BE" w:rsidRPr="000658BE" w:rsidRDefault="000658BE" w:rsidP="000658BE">
      <w:pPr>
        <w:numPr>
          <w:ilvl w:val="0"/>
          <w:numId w:val="1"/>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Providing equal access to educational opportunities and resources for all children.</w:t>
      </w:r>
    </w:p>
    <w:p w14:paraId="7A0203B5" w14:textId="77777777" w:rsidR="000658BE" w:rsidRPr="000658BE" w:rsidRDefault="000658BE" w:rsidP="000658BE">
      <w:pPr>
        <w:numPr>
          <w:ilvl w:val="0"/>
          <w:numId w:val="1"/>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Celebrating diversity and recognising the strengths that different backgrounds, perspectives, and experiences bring to our community.</w:t>
      </w:r>
    </w:p>
    <w:p w14:paraId="3A5534DC" w14:textId="77777777" w:rsidR="000658BE" w:rsidRPr="000658BE" w:rsidRDefault="000658BE" w:rsidP="000658BE">
      <w:pPr>
        <w:numPr>
          <w:ilvl w:val="0"/>
          <w:numId w:val="1"/>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Complying with all relevant equality legislation, including the Equality Act 2010.</w:t>
      </w:r>
    </w:p>
    <w:p w14:paraId="71D9AA5E"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3. Procedures to Prevent Discrimination</w:t>
      </w:r>
    </w:p>
    <w:p w14:paraId="4669DF2B"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To prevent discrimination, Beacon Alternative Provision will:</w:t>
      </w:r>
    </w:p>
    <w:p w14:paraId="66A35ABF" w14:textId="77777777" w:rsidR="000658BE" w:rsidRPr="000658BE" w:rsidRDefault="000658BE" w:rsidP="000658BE">
      <w:pPr>
        <w:numPr>
          <w:ilvl w:val="0"/>
          <w:numId w:val="2"/>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Implement robust policies and practices that actively prevent discrimination based on age, disability, gender reassignment, marriage and civil partnership, pregnancy and maternity, race, religion or belief, sex, and sexual orientation.</w:t>
      </w:r>
    </w:p>
    <w:p w14:paraId="23DD4155" w14:textId="77777777" w:rsidR="000658BE" w:rsidRPr="000658BE" w:rsidRDefault="000658BE" w:rsidP="000658BE">
      <w:pPr>
        <w:numPr>
          <w:ilvl w:val="0"/>
          <w:numId w:val="2"/>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Provide training for staff to recognise and challenge discriminatory behaviours and practices.</w:t>
      </w:r>
    </w:p>
    <w:p w14:paraId="7A201B96" w14:textId="77777777" w:rsidR="000658BE" w:rsidRPr="000658BE" w:rsidRDefault="000658BE" w:rsidP="000658BE">
      <w:pPr>
        <w:numPr>
          <w:ilvl w:val="0"/>
          <w:numId w:val="2"/>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Establish clear procedures for reporting and addressing instances of discrimination, harassment, or victimisation.</w:t>
      </w:r>
    </w:p>
    <w:p w14:paraId="3CCF5529" w14:textId="2649DBED" w:rsidR="000658BE" w:rsidRDefault="000658BE" w:rsidP="000658BE">
      <w:pPr>
        <w:numPr>
          <w:ilvl w:val="0"/>
          <w:numId w:val="2"/>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Ensure that all complaints of discrimination are taken seriously and investigated promptly and fairly.</w:t>
      </w:r>
    </w:p>
    <w:p w14:paraId="7902CF8C"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4. Inclusion Strategies</w:t>
      </w:r>
    </w:p>
    <w:p w14:paraId="7BE11CE6"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To promote inclusion, Beacon Alternative Provision will:</w:t>
      </w:r>
    </w:p>
    <w:p w14:paraId="061EAB41" w14:textId="77777777" w:rsidR="000658BE" w:rsidRPr="000658BE" w:rsidRDefault="000658BE" w:rsidP="000658BE">
      <w:pPr>
        <w:numPr>
          <w:ilvl w:val="0"/>
          <w:numId w:val="3"/>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lastRenderedPageBreak/>
        <w:t>Develop and implement individualised learning plans that cater to the unique needs of each child.</w:t>
      </w:r>
    </w:p>
    <w:p w14:paraId="619C8E4A" w14:textId="77777777" w:rsidR="000658BE" w:rsidRPr="000658BE" w:rsidRDefault="000658BE" w:rsidP="000658BE">
      <w:pPr>
        <w:numPr>
          <w:ilvl w:val="0"/>
          <w:numId w:val="3"/>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Ensure that teaching materials and methods are inclusive and represent the diverse backgrounds of our students.</w:t>
      </w:r>
    </w:p>
    <w:p w14:paraId="4E0B9721" w14:textId="77777777" w:rsidR="000658BE" w:rsidRPr="000658BE" w:rsidRDefault="000658BE" w:rsidP="000658BE">
      <w:pPr>
        <w:numPr>
          <w:ilvl w:val="0"/>
          <w:numId w:val="3"/>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Foster a supportive and inclusive environment where every child feels valued and respected.</w:t>
      </w:r>
    </w:p>
    <w:p w14:paraId="2DB1BC8F" w14:textId="77777777" w:rsidR="000658BE" w:rsidRPr="000658BE" w:rsidRDefault="000658BE" w:rsidP="000658BE">
      <w:pPr>
        <w:numPr>
          <w:ilvl w:val="0"/>
          <w:numId w:val="3"/>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Engage with parents, carers, and the wider community to support the inclusion of all children.</w:t>
      </w:r>
    </w:p>
    <w:p w14:paraId="169B7F30" w14:textId="77777777" w:rsidR="000658BE" w:rsidRPr="000658BE" w:rsidRDefault="000658BE" w:rsidP="000658BE">
      <w:pPr>
        <w:numPr>
          <w:ilvl w:val="0"/>
          <w:numId w:val="3"/>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Regularly review our practices and policies to ensure they are effective in promoting inclusion and equality.</w:t>
      </w:r>
    </w:p>
    <w:p w14:paraId="666B019E"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5. Monitoring and Evaluation</w:t>
      </w:r>
    </w:p>
    <w:p w14:paraId="3229F88B"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Beacon Alternative Provision will:</w:t>
      </w:r>
    </w:p>
    <w:p w14:paraId="0F30C6CA" w14:textId="77777777" w:rsidR="000658BE" w:rsidRPr="000658BE" w:rsidRDefault="000658BE" w:rsidP="000658BE">
      <w:pPr>
        <w:numPr>
          <w:ilvl w:val="0"/>
          <w:numId w:val="4"/>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Regularly monitor and review our equality and diversity practices to ensure they are effective and up-to-date.</w:t>
      </w:r>
    </w:p>
    <w:p w14:paraId="5D46E223" w14:textId="77777777" w:rsidR="000658BE" w:rsidRPr="000658BE" w:rsidRDefault="000658BE" w:rsidP="000658BE">
      <w:pPr>
        <w:numPr>
          <w:ilvl w:val="0"/>
          <w:numId w:val="4"/>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Collect and analyse data on the diversity of our students and staff to identify any areas for improvement.</w:t>
      </w:r>
    </w:p>
    <w:p w14:paraId="035E3FBF" w14:textId="77777777" w:rsidR="000658BE" w:rsidRPr="000658BE" w:rsidRDefault="000658BE" w:rsidP="000658BE">
      <w:pPr>
        <w:numPr>
          <w:ilvl w:val="0"/>
          <w:numId w:val="4"/>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Seek feedback from students, parents, staff, and other stakeholders to continually improve our equality and diversity practices.</w:t>
      </w:r>
    </w:p>
    <w:p w14:paraId="51C02C7F"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6. Responsibilities</w:t>
      </w:r>
    </w:p>
    <w:p w14:paraId="5477E11F" w14:textId="77777777" w:rsidR="000658BE" w:rsidRPr="000658BE" w:rsidRDefault="000658BE" w:rsidP="000658BE">
      <w:pPr>
        <w:numPr>
          <w:ilvl w:val="0"/>
          <w:numId w:val="5"/>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b/>
          <w:bCs/>
          <w:sz w:val="24"/>
          <w:szCs w:val="24"/>
          <w:lang w:eastAsia="en-GB"/>
        </w:rPr>
        <w:t>Senior Leadership Team (SLT):</w:t>
      </w:r>
      <w:r w:rsidRPr="000658BE">
        <w:rPr>
          <w:rFonts w:eastAsia="Times New Roman" w:cs="Times New Roman"/>
          <w:sz w:val="24"/>
          <w:szCs w:val="24"/>
          <w:lang w:eastAsia="en-GB"/>
        </w:rPr>
        <w:t xml:space="preserve"> The SLT is responsible for overseeing the implementation and effectiveness of this policy.</w:t>
      </w:r>
    </w:p>
    <w:p w14:paraId="16044C10" w14:textId="77777777" w:rsidR="000658BE" w:rsidRPr="000658BE" w:rsidRDefault="000658BE" w:rsidP="000658BE">
      <w:pPr>
        <w:numPr>
          <w:ilvl w:val="0"/>
          <w:numId w:val="5"/>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b/>
          <w:bCs/>
          <w:sz w:val="24"/>
          <w:szCs w:val="24"/>
          <w:lang w:eastAsia="en-GB"/>
        </w:rPr>
        <w:t>Staff:</w:t>
      </w:r>
      <w:r w:rsidRPr="000658BE">
        <w:rPr>
          <w:rFonts w:eastAsia="Times New Roman" w:cs="Times New Roman"/>
          <w:sz w:val="24"/>
          <w:szCs w:val="24"/>
          <w:lang w:eastAsia="en-GB"/>
        </w:rPr>
        <w:t xml:space="preserve"> All staff members are responsible for promoting equality and diversity in their daily interactions and practices.</w:t>
      </w:r>
    </w:p>
    <w:p w14:paraId="3DE6C792" w14:textId="77777777" w:rsidR="000658BE" w:rsidRPr="000658BE" w:rsidRDefault="000658BE" w:rsidP="000658BE">
      <w:pPr>
        <w:numPr>
          <w:ilvl w:val="0"/>
          <w:numId w:val="5"/>
        </w:num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b/>
          <w:bCs/>
          <w:sz w:val="24"/>
          <w:szCs w:val="24"/>
          <w:lang w:eastAsia="en-GB"/>
        </w:rPr>
        <w:t>Students:</w:t>
      </w:r>
      <w:r w:rsidRPr="000658BE">
        <w:rPr>
          <w:rFonts w:eastAsia="Times New Roman" w:cs="Times New Roman"/>
          <w:sz w:val="24"/>
          <w:szCs w:val="24"/>
          <w:lang w:eastAsia="en-GB"/>
        </w:rPr>
        <w:t xml:space="preserve"> Students are encouraged to respect and value each other’s differences and to report any discriminatory behaviour they witness.</w:t>
      </w:r>
    </w:p>
    <w:p w14:paraId="598309FF" w14:textId="77777777" w:rsidR="000658BE" w:rsidRPr="000658BE" w:rsidRDefault="000658BE" w:rsidP="000658BE">
      <w:pPr>
        <w:spacing w:before="100" w:beforeAutospacing="1" w:after="100" w:afterAutospacing="1" w:line="240" w:lineRule="auto"/>
        <w:jc w:val="both"/>
        <w:outlineLvl w:val="3"/>
        <w:rPr>
          <w:rFonts w:eastAsia="Times New Roman" w:cs="Times New Roman"/>
          <w:b/>
          <w:bCs/>
          <w:sz w:val="24"/>
          <w:szCs w:val="24"/>
          <w:lang w:eastAsia="en-GB"/>
        </w:rPr>
      </w:pPr>
      <w:r w:rsidRPr="000658BE">
        <w:rPr>
          <w:rFonts w:eastAsia="Times New Roman" w:cs="Times New Roman"/>
          <w:b/>
          <w:bCs/>
          <w:sz w:val="24"/>
          <w:szCs w:val="24"/>
          <w:lang w:eastAsia="en-GB"/>
        </w:rPr>
        <w:t>7. Review of the Policy</w:t>
      </w:r>
    </w:p>
    <w:p w14:paraId="1323734D"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This policy will be reviewed annually to ensure it remains relevant and effective. Any necessary amendments will be made in consultation with staff, students, and other stakeholders.</w:t>
      </w:r>
    </w:p>
    <w:p w14:paraId="520B0785" w14:textId="77777777" w:rsidR="000658BE" w:rsidRPr="000658BE" w:rsidRDefault="000658BE" w:rsidP="000658BE">
      <w:pPr>
        <w:spacing w:before="100" w:beforeAutospacing="1" w:after="100" w:afterAutospacing="1" w:line="240" w:lineRule="auto"/>
        <w:jc w:val="both"/>
        <w:rPr>
          <w:rFonts w:eastAsia="Times New Roman" w:cs="Times New Roman"/>
          <w:sz w:val="24"/>
          <w:szCs w:val="24"/>
          <w:lang w:eastAsia="en-GB"/>
        </w:rPr>
      </w:pPr>
      <w:r w:rsidRPr="000658BE">
        <w:rPr>
          <w:rFonts w:eastAsia="Times New Roman" w:cs="Times New Roman"/>
          <w:sz w:val="24"/>
          <w:szCs w:val="24"/>
          <w:lang w:eastAsia="en-GB"/>
        </w:rPr>
        <w:t>By committing to these principles and actions, Beacon Alternative Provision aims to create a welcoming and inclusive environment where every child has the opportunity to succeed and thrive.</w:t>
      </w:r>
    </w:p>
    <w:p w14:paraId="11D80DEF" w14:textId="77777777" w:rsidR="00811D90" w:rsidRDefault="00811D90"/>
    <w:sectPr w:rsidR="00811D90" w:rsidSect="000658B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034"/>
    <w:multiLevelType w:val="multilevel"/>
    <w:tmpl w:val="3D0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D2723"/>
    <w:multiLevelType w:val="multilevel"/>
    <w:tmpl w:val="47D4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E2686"/>
    <w:multiLevelType w:val="multilevel"/>
    <w:tmpl w:val="325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C5D35"/>
    <w:multiLevelType w:val="multilevel"/>
    <w:tmpl w:val="29E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33984"/>
    <w:multiLevelType w:val="multilevel"/>
    <w:tmpl w:val="8FF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549090">
    <w:abstractNumId w:val="0"/>
  </w:num>
  <w:num w:numId="2" w16cid:durableId="1825388429">
    <w:abstractNumId w:val="4"/>
  </w:num>
  <w:num w:numId="3" w16cid:durableId="1294555338">
    <w:abstractNumId w:val="2"/>
  </w:num>
  <w:num w:numId="4" w16cid:durableId="667758104">
    <w:abstractNumId w:val="1"/>
  </w:num>
  <w:num w:numId="5" w16cid:durableId="1132669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BE"/>
    <w:rsid w:val="000658BE"/>
    <w:rsid w:val="001B5FDC"/>
    <w:rsid w:val="00380ABE"/>
    <w:rsid w:val="003869DC"/>
    <w:rsid w:val="00811D90"/>
    <w:rsid w:val="00A12B42"/>
    <w:rsid w:val="00BC1E0B"/>
    <w:rsid w:val="00D9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1BFA"/>
  <w15:chartTrackingRefBased/>
  <w15:docId w15:val="{0CC9C50A-4E5C-4EF0-AE52-2651BAFD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7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2</cp:revision>
  <dcterms:created xsi:type="dcterms:W3CDTF">2025-04-09T14:56:00Z</dcterms:created>
  <dcterms:modified xsi:type="dcterms:W3CDTF">2025-04-09T14:56:00Z</dcterms:modified>
</cp:coreProperties>
</file>