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41D7" w14:textId="77777777" w:rsidR="006E6ADE" w:rsidRPr="007E2C6D" w:rsidRDefault="006E6ADE" w:rsidP="006E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 w:rsidRPr="007E2C6D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Beacon Alternative Provision</w:t>
      </w:r>
    </w:p>
    <w:p w14:paraId="1A8EA8A7" w14:textId="13D48959" w:rsidR="006E6ADE" w:rsidRPr="007E2C6D" w:rsidRDefault="006E6ADE" w:rsidP="006E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 w:rsidRPr="007E2C6D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Incident Reporting</w:t>
      </w:r>
      <w:r w:rsidRPr="007E2C6D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 Policy</w:t>
      </w:r>
    </w:p>
    <w:p w14:paraId="6DE8D672" w14:textId="7F5F94B9" w:rsidR="006E6ADE" w:rsidRDefault="006E6ADE" w:rsidP="006E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 w:rsidRPr="007E2C6D">
        <w:rPr>
          <w:rFonts w:ascii="Calibri" w:eastAsia="Times New Roman" w:hAnsi="Calibri" w:cs="Calibri"/>
          <w:b/>
          <w:bCs/>
          <w:noProof/>
          <w:sz w:val="40"/>
          <w:szCs w:val="40"/>
          <w:lang w:eastAsia="en-GB"/>
        </w:rPr>
        <w:drawing>
          <wp:inline distT="0" distB="0" distL="0" distR="0" wp14:anchorId="1877D412" wp14:editId="480F655E">
            <wp:extent cx="829310" cy="518996"/>
            <wp:effectExtent l="0" t="0" r="8890" b="0"/>
            <wp:docPr id="1" name="Picture 1" descr="A lighthouse with a light house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ighthouse with a light house in th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18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2B6A3" w14:textId="77777777" w:rsidR="00D85D43" w:rsidRPr="00D85D43" w:rsidRDefault="00D85D43" w:rsidP="006E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36DEA241" w14:textId="597DA1EC" w:rsidR="008E3C5F" w:rsidRPr="007E2C6D" w:rsidRDefault="008E3C5F" w:rsidP="008E3C5F">
      <w:pPr>
        <w:spacing w:before="240" w:after="240"/>
        <w:jc w:val="center"/>
        <w:rPr>
          <w:rFonts w:ascii="Calibri" w:hAnsi="Calibri" w:cs="Calibri"/>
          <w:sz w:val="24"/>
          <w:szCs w:val="24"/>
        </w:rPr>
      </w:pPr>
      <w:r w:rsidRPr="007E2C6D">
        <w:rPr>
          <w:rFonts w:ascii="Calibri" w:eastAsia="Aptos" w:hAnsi="Calibri" w:cs="Calibri"/>
          <w:b/>
          <w:bCs/>
          <w:sz w:val="24"/>
          <w:szCs w:val="24"/>
        </w:rPr>
        <w:t>Date</w:t>
      </w:r>
      <w:r w:rsidRPr="007E2C6D">
        <w:rPr>
          <w:rFonts w:ascii="Calibri" w:eastAsia="Aptos" w:hAnsi="Calibri" w:cs="Calibri"/>
          <w:sz w:val="24"/>
          <w:szCs w:val="24"/>
        </w:rPr>
        <w:t>: April 2025</w:t>
      </w:r>
      <w:r w:rsidRPr="007E2C6D">
        <w:rPr>
          <w:rFonts w:ascii="Calibri" w:hAnsi="Calibri" w:cs="Calibri"/>
          <w:sz w:val="24"/>
          <w:szCs w:val="24"/>
        </w:rPr>
        <w:br/>
      </w:r>
      <w:r w:rsidRPr="007E2C6D">
        <w:rPr>
          <w:rFonts w:ascii="Calibri" w:eastAsia="Aptos" w:hAnsi="Calibri" w:cs="Calibri"/>
          <w:b/>
          <w:bCs/>
          <w:sz w:val="24"/>
          <w:szCs w:val="24"/>
        </w:rPr>
        <w:t>Written by</w:t>
      </w:r>
      <w:r w:rsidRPr="007E2C6D">
        <w:rPr>
          <w:rFonts w:ascii="Calibri" w:eastAsia="Aptos" w:hAnsi="Calibri" w:cs="Calibri"/>
          <w:sz w:val="24"/>
          <w:szCs w:val="24"/>
        </w:rPr>
        <w:t>: O'Connell/Field</w:t>
      </w:r>
      <w:r w:rsidRPr="007E2C6D">
        <w:rPr>
          <w:rFonts w:ascii="Calibri" w:hAnsi="Calibri" w:cs="Calibri"/>
          <w:sz w:val="24"/>
          <w:szCs w:val="24"/>
        </w:rPr>
        <w:br/>
      </w:r>
      <w:r w:rsidRPr="007E2C6D">
        <w:rPr>
          <w:rFonts w:ascii="Calibri" w:eastAsia="Aptos" w:hAnsi="Calibri" w:cs="Calibri"/>
          <w:b/>
          <w:bCs/>
          <w:sz w:val="24"/>
          <w:szCs w:val="24"/>
        </w:rPr>
        <w:t>Review Due by</w:t>
      </w:r>
      <w:r w:rsidRPr="007E2C6D">
        <w:rPr>
          <w:rFonts w:ascii="Calibri" w:eastAsia="Aptos" w:hAnsi="Calibri" w:cs="Calibri"/>
          <w:sz w:val="24"/>
          <w:szCs w:val="24"/>
        </w:rPr>
        <w:t xml:space="preserve">: April 2026 </w:t>
      </w:r>
    </w:p>
    <w:p w14:paraId="1007EDB0" w14:textId="77777777" w:rsidR="00320E8E" w:rsidRPr="007E2C6D" w:rsidRDefault="00000000" w:rsidP="00320E8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5DE73D4F">
          <v:rect id="_x0000_i1025" style="width:0;height:1.5pt" o:hralign="center" o:hrstd="t" o:hr="t" fillcolor="#a0a0a0" stroked="f"/>
        </w:pict>
      </w:r>
    </w:p>
    <w:p w14:paraId="1B363CC0" w14:textId="77777777" w:rsidR="00320E8E" w:rsidRPr="00746A1C" w:rsidRDefault="00320E8E" w:rsidP="00320E8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746A1C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Table of Contents</w:t>
      </w:r>
    </w:p>
    <w:p w14:paraId="0AC553FD" w14:textId="77777777" w:rsidR="00320E8E" w:rsidRPr="007E2C6D" w:rsidRDefault="00320E8E" w:rsidP="0032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Accidents and First Aid Events</w:t>
      </w:r>
    </w:p>
    <w:p w14:paraId="4F33DA44" w14:textId="77777777" w:rsidR="00320E8E" w:rsidRPr="007E2C6D" w:rsidRDefault="00320E8E" w:rsidP="0032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Safeguarding and Child Protection Concerns</w:t>
      </w:r>
    </w:p>
    <w:p w14:paraId="134935E0" w14:textId="77777777" w:rsidR="00320E8E" w:rsidRPr="007E2C6D" w:rsidRDefault="00320E8E" w:rsidP="0032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Major Behavioural Issues</w:t>
      </w:r>
    </w:p>
    <w:p w14:paraId="7AA49DAD" w14:textId="77777777" w:rsidR="00320E8E" w:rsidRPr="007E2C6D" w:rsidRDefault="00320E8E" w:rsidP="0032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Bullying Incidents</w:t>
      </w:r>
    </w:p>
    <w:p w14:paraId="1841E4BF" w14:textId="77777777" w:rsidR="00320E8E" w:rsidRPr="007E2C6D" w:rsidRDefault="00320E8E" w:rsidP="0032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Exclusions</w:t>
      </w:r>
    </w:p>
    <w:p w14:paraId="32F12045" w14:textId="77777777" w:rsidR="00320E8E" w:rsidRPr="007E2C6D" w:rsidRDefault="00320E8E" w:rsidP="0032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Post-Incident Risk Evaluation</w:t>
      </w:r>
    </w:p>
    <w:p w14:paraId="468BD304" w14:textId="77777777" w:rsidR="00320E8E" w:rsidRPr="007E2C6D" w:rsidRDefault="00320E8E" w:rsidP="0032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Appendix A – Accident Documentation Guidelines</w:t>
      </w:r>
    </w:p>
    <w:p w14:paraId="78ADEBA6" w14:textId="77777777" w:rsidR="00320E8E" w:rsidRPr="007E2C6D" w:rsidRDefault="00000000" w:rsidP="00320E8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0B27DFFC">
          <v:rect id="_x0000_i1026" style="width:0;height:1.5pt" o:hralign="center" o:hrstd="t" o:hr="t" fillcolor="#a0a0a0" stroked="f"/>
        </w:pict>
      </w:r>
    </w:p>
    <w:p w14:paraId="43363BE9" w14:textId="77777777" w:rsidR="00320E8E" w:rsidRPr="007E2C6D" w:rsidRDefault="00320E8E" w:rsidP="00320E8E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Incident Reporting Policy</w:t>
      </w:r>
    </w:p>
    <w:p w14:paraId="12A5362F" w14:textId="77777777" w:rsidR="00320E8E" w:rsidRPr="00746A1C" w:rsidRDefault="00320E8E" w:rsidP="00320E8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746A1C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Accidents and First Aid Events</w:t>
      </w:r>
    </w:p>
    <w:p w14:paraId="671C6910" w14:textId="77777777" w:rsidR="00320E8E" w:rsidRPr="007E2C6D" w:rsidRDefault="00320E8E" w:rsidP="00320E8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All injuries, near misses, or situations requiring first aid must be recorded in the designated First Aid Log.</w:t>
      </w:r>
    </w:p>
    <w:p w14:paraId="47F7694C" w14:textId="77777777" w:rsidR="00320E8E" w:rsidRPr="007E2C6D" w:rsidRDefault="00320E8E" w:rsidP="00320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The report should be completed by the injured party, a witness, or the designated first aider.</w:t>
      </w:r>
    </w:p>
    <w:p w14:paraId="798F6452" w14:textId="77777777" w:rsidR="00320E8E" w:rsidRPr="007E2C6D" w:rsidRDefault="00320E8E" w:rsidP="00320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 detachable copy must be submitted to the centre’s Health &amp; Safety Lead for secure storage.</w:t>
      </w:r>
    </w:p>
    <w:p w14:paraId="0D088438" w14:textId="77777777" w:rsidR="00320E8E" w:rsidRPr="007E2C6D" w:rsidRDefault="00320E8E" w:rsidP="00320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Entries will be reviewed quarterly to detect trends and address any recurring hazards.</w:t>
      </w:r>
    </w:p>
    <w:p w14:paraId="1AC51783" w14:textId="77777777" w:rsidR="00320E8E" w:rsidRPr="007E2C6D" w:rsidRDefault="00320E8E" w:rsidP="00320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The Health &amp; Safety Lead is also responsible for reporting notifiable incidents to the HSE under RIDDOR regulations (refer to the Health and Safety Policy).</w:t>
      </w:r>
    </w:p>
    <w:p w14:paraId="1623B4CA" w14:textId="77777777" w:rsidR="00320E8E" w:rsidRPr="007E2C6D" w:rsidRDefault="00320E8E" w:rsidP="00320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Injuries involving individuals under 16 years old must be communicated to parents/carers and relevant external bodies (e.g., social care).</w:t>
      </w: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br/>
        <w:t>See Appendix A for full accident reporting instructions.</w:t>
      </w:r>
    </w:p>
    <w:p w14:paraId="72DB65B3" w14:textId="77777777" w:rsidR="00320E8E" w:rsidRPr="007E2C6D" w:rsidRDefault="00000000" w:rsidP="00320E8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13C889B0">
          <v:rect id="_x0000_i1027" style="width:0;height:1.5pt" o:hralign="center" o:hrstd="t" o:hr="t" fillcolor="#a0a0a0" stroked="f"/>
        </w:pict>
      </w:r>
    </w:p>
    <w:p w14:paraId="65D96655" w14:textId="77777777" w:rsidR="00320E8E" w:rsidRPr="00746A1C" w:rsidRDefault="00320E8E" w:rsidP="00320E8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746A1C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Safeguarding and Child Protection Concerns</w:t>
      </w:r>
    </w:p>
    <w:p w14:paraId="6037B0B4" w14:textId="31DCF858" w:rsidR="00320E8E" w:rsidRPr="007E2C6D" w:rsidRDefault="00320E8E" w:rsidP="00320E8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Any concerns relating to child safety or welfare should be </w:t>
      </w:r>
      <w:r w:rsidR="0047442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reported to the DSL and </w:t>
      </w: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recorded </w:t>
      </w:r>
      <w:r w:rsidR="0017180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in the Safeguarding Record</w:t>
      </w: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in accordance with the Beacon Safeguarding Policy.</w:t>
      </w: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br/>
        <w:t>Reports may also be escalated to statutory services such as Children’s Social Care or the police when necessary.</w:t>
      </w:r>
    </w:p>
    <w:p w14:paraId="5382E3D3" w14:textId="77777777" w:rsidR="00320E8E" w:rsidRPr="007E2C6D" w:rsidRDefault="00000000" w:rsidP="00320E8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lastRenderedPageBreak/>
        <w:pict w14:anchorId="0F56CED3">
          <v:rect id="_x0000_i1028" style="width:0;height:1.5pt" o:hralign="center" o:hrstd="t" o:hr="t" fillcolor="#a0a0a0" stroked="f"/>
        </w:pict>
      </w:r>
    </w:p>
    <w:p w14:paraId="5F6AE7D9" w14:textId="77777777" w:rsidR="00320E8E" w:rsidRPr="00746A1C" w:rsidRDefault="00320E8E" w:rsidP="00320E8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746A1C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Major Behavioural Issues</w:t>
      </w:r>
    </w:p>
    <w:p w14:paraId="234D53A3" w14:textId="18A38AE1" w:rsidR="00320E8E" w:rsidRPr="007E2C6D" w:rsidRDefault="00320E8E" w:rsidP="00320E8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Incidents involving harm to staff or pupils, property damage, physical confrontations (including restraint), or criminal activity (e.g., theft, substance use, sexual misconduct) must be categorised as serious and recorded </w:t>
      </w:r>
      <w:r w:rsidR="00397E8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in the Beacon Incident Log</w:t>
      </w: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688E6BF4" w14:textId="77777777" w:rsidR="00320E8E" w:rsidRPr="007E2C6D" w:rsidRDefault="00320E8E" w:rsidP="00320E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All such entries will automatically notify senior leadership.</w:t>
      </w:r>
    </w:p>
    <w:p w14:paraId="3AD06461" w14:textId="77777777" w:rsidR="00320E8E" w:rsidRPr="007E2C6D" w:rsidRDefault="00320E8E" w:rsidP="00320E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Each case must include details of actions taken or consequences applied.</w:t>
      </w:r>
    </w:p>
    <w:p w14:paraId="67A7B6ED" w14:textId="77777777" w:rsidR="00320E8E" w:rsidRPr="007E2C6D" w:rsidRDefault="00320E8E" w:rsidP="00320E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Relevant authorities (e.g., social care, police) should be informed as appropriate.</w:t>
      </w:r>
    </w:p>
    <w:p w14:paraId="28218C33" w14:textId="77777777" w:rsidR="00320E8E" w:rsidRPr="007E2C6D" w:rsidRDefault="00320E8E" w:rsidP="00320E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Parents/carers and referring agencies must be notified of all serious incidents.</w:t>
      </w:r>
    </w:p>
    <w:p w14:paraId="2A0C3BCC" w14:textId="77777777" w:rsidR="00320E8E" w:rsidRPr="007E2C6D" w:rsidRDefault="00000000" w:rsidP="00320E8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10493CBD">
          <v:rect id="_x0000_i1029" style="width:0;height:1.5pt" o:hralign="center" o:hrstd="t" o:hr="t" fillcolor="#a0a0a0" stroked="f"/>
        </w:pict>
      </w:r>
    </w:p>
    <w:p w14:paraId="325ECE96" w14:textId="77777777" w:rsidR="00320E8E" w:rsidRPr="00746A1C" w:rsidRDefault="00320E8E" w:rsidP="00320E8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746A1C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Bullying Incidents</w:t>
      </w:r>
    </w:p>
    <w:p w14:paraId="7A282349" w14:textId="77777777" w:rsidR="00320E8E" w:rsidRPr="007E2C6D" w:rsidRDefault="00320E8E" w:rsidP="00320E8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Bullying refers to ongoing harmful behaviour—physical or emotional—deliberately targeted at an individual or group, especially when the victim finds it difficult to defend themselves.</w:t>
      </w:r>
    </w:p>
    <w:p w14:paraId="70DE9CB4" w14:textId="11F6B646" w:rsidR="00320E8E" w:rsidRPr="007E2C6D" w:rsidRDefault="00320E8E" w:rsidP="00320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All suspected or actual incidents, even if isolated, must be recorded </w:t>
      </w:r>
      <w:r w:rsidR="009230E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in the Incident log</w:t>
      </w: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and clearly identified by type.</w:t>
      </w:r>
    </w:p>
    <w:p w14:paraId="272EA8E4" w14:textId="77777777" w:rsidR="00320E8E" w:rsidRPr="007E2C6D" w:rsidRDefault="00320E8E" w:rsidP="00320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Remarks that are discriminatory or malicious, whether one-off or repeated, must also be logged.</w:t>
      </w:r>
    </w:p>
    <w:p w14:paraId="44120446" w14:textId="7DF11A49" w:rsidR="00320E8E" w:rsidRPr="007E2C6D" w:rsidRDefault="00705D99" w:rsidP="00320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Any</w:t>
      </w:r>
      <w:r w:rsidR="00320E8E"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interventions taken in response should be documented.</w:t>
      </w:r>
    </w:p>
    <w:p w14:paraId="023ADC48" w14:textId="77777777" w:rsidR="00320E8E" w:rsidRPr="007E2C6D" w:rsidRDefault="00000000" w:rsidP="00320E8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64ABC818">
          <v:rect id="_x0000_i1030" style="width:0;height:1.5pt" o:hralign="center" o:hrstd="t" o:hr="t" fillcolor="#a0a0a0" stroked="f"/>
        </w:pict>
      </w:r>
    </w:p>
    <w:p w14:paraId="27216A62" w14:textId="77777777" w:rsidR="00320E8E" w:rsidRDefault="00320E8E" w:rsidP="00746A1C">
      <w:pPr>
        <w:pStyle w:val="NoSpacing"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746A1C">
        <w:rPr>
          <w:rFonts w:ascii="Calibri" w:hAnsi="Calibri" w:cs="Calibri"/>
          <w:b/>
          <w:bCs/>
          <w:sz w:val="24"/>
          <w:szCs w:val="24"/>
          <w:lang w:eastAsia="en-GB"/>
        </w:rPr>
        <w:t>Exclusions</w:t>
      </w:r>
    </w:p>
    <w:p w14:paraId="23D88D4E" w14:textId="77777777" w:rsidR="00746A1C" w:rsidRPr="00746A1C" w:rsidRDefault="00746A1C" w:rsidP="00746A1C">
      <w:pPr>
        <w:pStyle w:val="NoSpacing"/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47FAFC3B" w14:textId="3031647D" w:rsidR="00320E8E" w:rsidRPr="00746A1C" w:rsidRDefault="00320E8E" w:rsidP="00746A1C">
      <w:pPr>
        <w:pStyle w:val="NoSpacing"/>
        <w:rPr>
          <w:rFonts w:ascii="Calibri" w:hAnsi="Calibri" w:cs="Calibri"/>
          <w:sz w:val="24"/>
          <w:szCs w:val="24"/>
          <w:lang w:eastAsia="en-GB"/>
        </w:rPr>
      </w:pPr>
      <w:r w:rsidRPr="00746A1C">
        <w:rPr>
          <w:rFonts w:ascii="Calibri" w:hAnsi="Calibri" w:cs="Calibri"/>
          <w:sz w:val="24"/>
          <w:szCs w:val="24"/>
          <w:lang w:eastAsia="en-GB"/>
        </w:rPr>
        <w:t xml:space="preserve">When an exclusion is issued, it must be recorded </w:t>
      </w:r>
      <w:r w:rsidR="00705D99" w:rsidRPr="00746A1C">
        <w:rPr>
          <w:rFonts w:ascii="Calibri" w:hAnsi="Calibri" w:cs="Calibri"/>
          <w:sz w:val="24"/>
          <w:szCs w:val="24"/>
          <w:lang w:eastAsia="en-GB"/>
        </w:rPr>
        <w:t xml:space="preserve">in the Incident log </w:t>
      </w:r>
      <w:r w:rsidRPr="00746A1C">
        <w:rPr>
          <w:rFonts w:ascii="Calibri" w:hAnsi="Calibri" w:cs="Calibri"/>
          <w:sz w:val="24"/>
          <w:szCs w:val="24"/>
          <w:lang w:eastAsia="en-GB"/>
        </w:rPr>
        <w:t>as a formal behavioural sanction.</w:t>
      </w:r>
    </w:p>
    <w:p w14:paraId="02AB50FC" w14:textId="77777777" w:rsidR="00320E8E" w:rsidRPr="00746A1C" w:rsidRDefault="00320E8E" w:rsidP="00746A1C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lang w:eastAsia="en-GB"/>
        </w:rPr>
      </w:pPr>
      <w:r w:rsidRPr="00746A1C">
        <w:rPr>
          <w:rFonts w:ascii="Calibri" w:hAnsi="Calibri" w:cs="Calibri"/>
          <w:sz w:val="24"/>
          <w:szCs w:val="24"/>
          <w:lang w:eastAsia="en-GB"/>
        </w:rPr>
        <w:t>The system will support analysis and monitoring of exclusion trends over time.</w:t>
      </w:r>
    </w:p>
    <w:p w14:paraId="014E7618" w14:textId="77777777" w:rsidR="00320E8E" w:rsidRPr="007E2C6D" w:rsidRDefault="00000000" w:rsidP="00746A1C">
      <w:pPr>
        <w:pStyle w:val="NoSpacing"/>
        <w:rPr>
          <w:sz w:val="24"/>
          <w:szCs w:val="24"/>
          <w:lang w:eastAsia="en-GB"/>
        </w:rPr>
      </w:pPr>
      <w:r w:rsidRPr="00746A1C">
        <w:rPr>
          <w:rFonts w:ascii="Calibri" w:hAnsi="Calibri" w:cs="Calibri"/>
          <w:sz w:val="24"/>
          <w:szCs w:val="24"/>
          <w:lang w:eastAsia="en-GB"/>
        </w:rPr>
        <w:pict w14:anchorId="2D282BB8">
          <v:rect id="_x0000_i1031" style="width:0;height:1.5pt" o:hralign="center" o:hrstd="t" o:hr="t" fillcolor="#a0a0a0" stroked="f"/>
        </w:pict>
      </w:r>
    </w:p>
    <w:p w14:paraId="3A152015" w14:textId="77777777" w:rsidR="00320E8E" w:rsidRDefault="00320E8E" w:rsidP="00746A1C">
      <w:pPr>
        <w:pStyle w:val="NoSpacing"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746A1C">
        <w:rPr>
          <w:rFonts w:ascii="Calibri" w:hAnsi="Calibri" w:cs="Calibri"/>
          <w:b/>
          <w:bCs/>
          <w:sz w:val="24"/>
          <w:szCs w:val="24"/>
          <w:lang w:eastAsia="en-GB"/>
        </w:rPr>
        <w:t>Post-Incident Risk Evaluation</w:t>
      </w:r>
    </w:p>
    <w:p w14:paraId="171229E8" w14:textId="77777777" w:rsidR="00746A1C" w:rsidRPr="00746A1C" w:rsidRDefault="00746A1C" w:rsidP="00746A1C">
      <w:pPr>
        <w:pStyle w:val="NoSpacing"/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577C9A4A" w14:textId="77777777" w:rsidR="00320E8E" w:rsidRPr="00746A1C" w:rsidRDefault="00320E8E" w:rsidP="00746A1C">
      <w:pPr>
        <w:pStyle w:val="NoSpacing"/>
        <w:rPr>
          <w:rFonts w:ascii="Calibri" w:hAnsi="Calibri" w:cs="Calibri"/>
          <w:sz w:val="24"/>
          <w:szCs w:val="24"/>
          <w:lang w:eastAsia="en-GB"/>
        </w:rPr>
      </w:pPr>
      <w:r w:rsidRPr="00746A1C">
        <w:rPr>
          <w:rFonts w:ascii="Calibri" w:hAnsi="Calibri" w:cs="Calibri"/>
          <w:sz w:val="24"/>
          <w:szCs w:val="24"/>
          <w:lang w:eastAsia="en-GB"/>
        </w:rPr>
        <w:t>After any incident or emerging trend, staff should reassess existing risk assessments and update or create new ones to reduce future risks.</w:t>
      </w:r>
    </w:p>
    <w:p w14:paraId="6237FFB8" w14:textId="77777777" w:rsidR="00320E8E" w:rsidRPr="00746A1C" w:rsidRDefault="00320E8E" w:rsidP="00746A1C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lang w:eastAsia="en-GB"/>
        </w:rPr>
      </w:pPr>
      <w:r w:rsidRPr="00746A1C">
        <w:rPr>
          <w:rFonts w:ascii="Calibri" w:hAnsi="Calibri" w:cs="Calibri"/>
          <w:sz w:val="24"/>
          <w:szCs w:val="24"/>
          <w:lang w:eastAsia="en-GB"/>
        </w:rPr>
        <w:t>This applies both to group-level reviews and individual cases where appropriate.</w:t>
      </w:r>
    </w:p>
    <w:p w14:paraId="195A12D5" w14:textId="77777777" w:rsidR="00320E8E" w:rsidRPr="00746A1C" w:rsidRDefault="00000000" w:rsidP="00746A1C">
      <w:pPr>
        <w:pStyle w:val="NoSpacing"/>
        <w:rPr>
          <w:rFonts w:ascii="Calibri" w:hAnsi="Calibri" w:cs="Calibri"/>
          <w:sz w:val="24"/>
          <w:szCs w:val="24"/>
          <w:lang w:eastAsia="en-GB"/>
        </w:rPr>
      </w:pPr>
      <w:r w:rsidRPr="00746A1C">
        <w:rPr>
          <w:rFonts w:ascii="Calibri" w:hAnsi="Calibri" w:cs="Calibri"/>
          <w:sz w:val="24"/>
          <w:szCs w:val="24"/>
          <w:lang w:eastAsia="en-GB"/>
        </w:rPr>
        <w:pict w14:anchorId="7921F401">
          <v:rect id="_x0000_i1032" style="width:0;height:1.5pt" o:hralign="center" o:hrstd="t" o:hr="t" fillcolor="#a0a0a0" stroked="f"/>
        </w:pict>
      </w:r>
    </w:p>
    <w:p w14:paraId="7A3C1A9A" w14:textId="066657BE" w:rsidR="00320E8E" w:rsidRPr="00746A1C" w:rsidRDefault="0083463D" w:rsidP="00320E8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746A1C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</w:t>
      </w:r>
      <w:r w:rsidR="00320E8E" w:rsidRPr="00746A1C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ppendix A – Accident Documentation Guidelines</w:t>
      </w:r>
    </w:p>
    <w:p w14:paraId="6ED57702" w14:textId="77777777" w:rsidR="00320E8E" w:rsidRPr="007E2C6D" w:rsidRDefault="00320E8E" w:rsidP="00320E8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For any accident at Beacon Alternative Provision, follow these steps:</w:t>
      </w:r>
    </w:p>
    <w:p w14:paraId="0E438BAE" w14:textId="77777777" w:rsidR="00320E8E" w:rsidRPr="007E2C6D" w:rsidRDefault="00320E8E" w:rsidP="00320E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The incident must be logged by the person involved, a witness, or the first aider.</w:t>
      </w:r>
    </w:p>
    <w:p w14:paraId="505240BE" w14:textId="77777777" w:rsidR="00320E8E" w:rsidRPr="007E2C6D" w:rsidRDefault="00320E8E" w:rsidP="00320E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Each entry must be uniquely numbered.</w:t>
      </w:r>
    </w:p>
    <w:p w14:paraId="2408E748" w14:textId="77777777" w:rsidR="00320E8E" w:rsidRPr="007E2C6D" w:rsidRDefault="00320E8E" w:rsidP="00320E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All fields on the form must be filled in.</w:t>
      </w:r>
    </w:p>
    <w:p w14:paraId="049D6ABC" w14:textId="77777777" w:rsidR="00320E8E" w:rsidRPr="007E2C6D" w:rsidRDefault="00320E8E" w:rsidP="00320E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Names of those responsible for accident recordkeeping at the centre should be listed clearly.</w:t>
      </w:r>
    </w:p>
    <w:p w14:paraId="26145CE7" w14:textId="77777777" w:rsidR="00320E8E" w:rsidRPr="007E2C6D" w:rsidRDefault="00320E8E" w:rsidP="00320E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Completed records must be stored securely in a locked file.</w:t>
      </w:r>
    </w:p>
    <w:p w14:paraId="763CE301" w14:textId="77777777" w:rsidR="00320E8E" w:rsidRPr="007E2C6D" w:rsidRDefault="00320E8E" w:rsidP="00320E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E2C6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Records and unused accident books should be retained for at least three years.</w:t>
      </w:r>
    </w:p>
    <w:p w14:paraId="23CD36F2" w14:textId="18DD9C72" w:rsidR="00320E8E" w:rsidRPr="007E2C6D" w:rsidRDefault="00320E8E" w:rsidP="00320E8E">
      <w:pPr>
        <w:tabs>
          <w:tab w:val="left" w:pos="1395"/>
        </w:tabs>
        <w:rPr>
          <w:rFonts w:ascii="Calibri" w:hAnsi="Calibri" w:cs="Calibri"/>
        </w:rPr>
      </w:pPr>
    </w:p>
    <w:sectPr w:rsidR="00320E8E" w:rsidRPr="007E2C6D" w:rsidSect="006E6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7A13" w14:textId="77777777" w:rsidR="00102EE7" w:rsidRDefault="00102EE7" w:rsidP="00320E8E">
      <w:pPr>
        <w:spacing w:after="0" w:line="240" w:lineRule="auto"/>
      </w:pPr>
      <w:r>
        <w:separator/>
      </w:r>
    </w:p>
  </w:endnote>
  <w:endnote w:type="continuationSeparator" w:id="0">
    <w:p w14:paraId="0737D584" w14:textId="77777777" w:rsidR="00102EE7" w:rsidRDefault="00102EE7" w:rsidP="0032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855F9" w14:textId="77777777" w:rsidR="00102EE7" w:rsidRDefault="00102EE7" w:rsidP="00320E8E">
      <w:pPr>
        <w:spacing w:after="0" w:line="240" w:lineRule="auto"/>
      </w:pPr>
      <w:r>
        <w:separator/>
      </w:r>
    </w:p>
  </w:footnote>
  <w:footnote w:type="continuationSeparator" w:id="0">
    <w:p w14:paraId="6560037C" w14:textId="77777777" w:rsidR="00102EE7" w:rsidRDefault="00102EE7" w:rsidP="00320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2BEB"/>
    <w:multiLevelType w:val="multilevel"/>
    <w:tmpl w:val="0C5E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B1603"/>
    <w:multiLevelType w:val="multilevel"/>
    <w:tmpl w:val="644C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22C15"/>
    <w:multiLevelType w:val="multilevel"/>
    <w:tmpl w:val="D1C6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631C0"/>
    <w:multiLevelType w:val="multilevel"/>
    <w:tmpl w:val="850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06201"/>
    <w:multiLevelType w:val="multilevel"/>
    <w:tmpl w:val="0A2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66CFF"/>
    <w:multiLevelType w:val="multilevel"/>
    <w:tmpl w:val="6190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F23D81"/>
    <w:multiLevelType w:val="hybridMultilevel"/>
    <w:tmpl w:val="5760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3B08"/>
    <w:multiLevelType w:val="multilevel"/>
    <w:tmpl w:val="BD74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CE22C3"/>
    <w:multiLevelType w:val="multilevel"/>
    <w:tmpl w:val="B71A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02663">
    <w:abstractNumId w:val="0"/>
  </w:num>
  <w:num w:numId="2" w16cid:durableId="1340884574">
    <w:abstractNumId w:val="8"/>
  </w:num>
  <w:num w:numId="3" w16cid:durableId="499080302">
    <w:abstractNumId w:val="5"/>
  </w:num>
  <w:num w:numId="4" w16cid:durableId="822937691">
    <w:abstractNumId w:val="3"/>
  </w:num>
  <w:num w:numId="5" w16cid:durableId="1576740620">
    <w:abstractNumId w:val="4"/>
  </w:num>
  <w:num w:numId="6" w16cid:durableId="1904099811">
    <w:abstractNumId w:val="2"/>
  </w:num>
  <w:num w:numId="7" w16cid:durableId="846555163">
    <w:abstractNumId w:val="7"/>
  </w:num>
  <w:num w:numId="8" w16cid:durableId="1813478278">
    <w:abstractNumId w:val="1"/>
  </w:num>
  <w:num w:numId="9" w16cid:durableId="1575580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8E"/>
    <w:rsid w:val="00102EE7"/>
    <w:rsid w:val="00171804"/>
    <w:rsid w:val="00320E8E"/>
    <w:rsid w:val="003869DC"/>
    <w:rsid w:val="00397E81"/>
    <w:rsid w:val="003C0CA5"/>
    <w:rsid w:val="004008A8"/>
    <w:rsid w:val="0047442E"/>
    <w:rsid w:val="006A510E"/>
    <w:rsid w:val="006E6ADE"/>
    <w:rsid w:val="00705D99"/>
    <w:rsid w:val="00746A1C"/>
    <w:rsid w:val="007E2C6D"/>
    <w:rsid w:val="0083463D"/>
    <w:rsid w:val="00871286"/>
    <w:rsid w:val="008E3C5F"/>
    <w:rsid w:val="009230E4"/>
    <w:rsid w:val="00B63B8A"/>
    <w:rsid w:val="00D85D43"/>
    <w:rsid w:val="00E1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2A5C"/>
  <w15:chartTrackingRefBased/>
  <w15:docId w15:val="{E2F445E8-9DD1-4A9C-BC22-4F972AEA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E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0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E8E"/>
  </w:style>
  <w:style w:type="paragraph" w:styleId="Footer">
    <w:name w:val="footer"/>
    <w:basedOn w:val="Normal"/>
    <w:link w:val="FooterChar"/>
    <w:uiPriority w:val="99"/>
    <w:unhideWhenUsed/>
    <w:rsid w:val="00320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E8E"/>
  </w:style>
  <w:style w:type="paragraph" w:styleId="NoSpacing">
    <w:name w:val="No Spacing"/>
    <w:uiPriority w:val="1"/>
    <w:qFormat/>
    <w:rsid w:val="00746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O'Connell</dc:creator>
  <cp:keywords/>
  <dc:description/>
  <cp:lastModifiedBy>Fiona Field</cp:lastModifiedBy>
  <cp:revision>3</cp:revision>
  <dcterms:created xsi:type="dcterms:W3CDTF">2025-04-09T10:27:00Z</dcterms:created>
  <dcterms:modified xsi:type="dcterms:W3CDTF">2025-04-09T13:46:00Z</dcterms:modified>
</cp:coreProperties>
</file>